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606B9" w14:textId="77777777" w:rsidR="005657EE" w:rsidRPr="00BC23B1" w:rsidRDefault="005657EE" w:rsidP="005657EE">
      <w:pPr>
        <w:rPr>
          <w:rFonts w:ascii="Palatino Linotype" w:hAnsi="Palatino Linotype" w:cs="Arial"/>
          <w:b/>
        </w:rPr>
      </w:pPr>
      <w:r w:rsidRPr="00754048">
        <w:rPr>
          <w:rFonts w:ascii="Palatino Linotype" w:eastAsia="Palatino Linotype" w:hAnsi="Palatino Linotype"/>
          <w:b/>
          <w:i/>
          <w:noProof/>
          <w:color w:val="000000"/>
        </w:rPr>
        <w:drawing>
          <wp:inline distT="0" distB="0" distL="0" distR="0" wp14:anchorId="1BCE163E" wp14:editId="4C381AA5">
            <wp:extent cx="1062355" cy="1167130"/>
            <wp:effectExtent l="0" t="0" r="0" b="0"/>
            <wp:docPr id="1"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2355" cy="1167130"/>
                    </a:xfrm>
                    <a:prstGeom prst="rect">
                      <a:avLst/>
                    </a:prstGeom>
                    <a:noFill/>
                    <a:ln>
                      <a:noFill/>
                    </a:ln>
                  </pic:spPr>
                </pic:pic>
              </a:graphicData>
            </a:graphic>
          </wp:inline>
        </w:drawing>
      </w:r>
      <w:r w:rsidRPr="00BC23B1">
        <w:rPr>
          <w:rFonts w:ascii="Palatino Linotype" w:hAnsi="Palatino Linotype" w:cs="Arial"/>
          <w:b/>
        </w:rPr>
        <w:tab/>
      </w:r>
      <w:r w:rsidRPr="00BC23B1">
        <w:rPr>
          <w:rFonts w:ascii="Palatino Linotype" w:hAnsi="Palatino Linotype" w:cs="Arial"/>
          <w:b/>
        </w:rPr>
        <w:tab/>
      </w:r>
      <w:r w:rsidRPr="00BC23B1">
        <w:rPr>
          <w:rFonts w:ascii="Palatino Linotype" w:hAnsi="Palatino Linotype" w:cs="Arial"/>
          <w:b/>
        </w:rPr>
        <w:tab/>
      </w:r>
      <w:r w:rsidRPr="00BC23B1">
        <w:rPr>
          <w:rFonts w:ascii="Palatino Linotype" w:hAnsi="Palatino Linotype" w:cs="Arial"/>
          <w:b/>
        </w:rPr>
        <w:tab/>
      </w:r>
      <w:r w:rsidRPr="00BC23B1">
        <w:rPr>
          <w:rFonts w:ascii="Palatino Linotype" w:hAnsi="Palatino Linotype" w:cs="Arial"/>
          <w:b/>
        </w:rPr>
        <w:tab/>
      </w:r>
    </w:p>
    <w:p w14:paraId="4D3CB49C" w14:textId="77777777" w:rsidR="005657EE" w:rsidRPr="00BC23B1" w:rsidRDefault="005657EE" w:rsidP="005657EE">
      <w:pPr>
        <w:rPr>
          <w:rFonts w:ascii="Palatino Linotype" w:hAnsi="Palatino Linotype" w:cs="Arial"/>
          <w:b/>
        </w:rPr>
      </w:pPr>
    </w:p>
    <w:p w14:paraId="2CE99080" w14:textId="77777777" w:rsidR="005657EE" w:rsidRPr="00BC23B1" w:rsidRDefault="005657EE" w:rsidP="005657EE">
      <w:pPr>
        <w:rPr>
          <w:rFonts w:ascii="Palatino Linotype" w:hAnsi="Palatino Linotype" w:cs="Arial"/>
          <w:b/>
        </w:rPr>
      </w:pPr>
    </w:p>
    <w:p w14:paraId="17595173" w14:textId="77777777" w:rsidR="005657EE" w:rsidRPr="00BC23B1" w:rsidRDefault="005657EE" w:rsidP="005657EE">
      <w:pPr>
        <w:jc w:val="center"/>
        <w:rPr>
          <w:rFonts w:ascii="Palatino Linotype" w:hAnsi="Palatino Linotype" w:cs="Arial"/>
          <w:b/>
        </w:rPr>
      </w:pPr>
      <w:proofErr w:type="spellStart"/>
      <w:r w:rsidRPr="00BC23B1">
        <w:rPr>
          <w:rFonts w:ascii="Palatino Linotype" w:hAnsi="Palatino Linotype" w:cs="Arial"/>
          <w:b/>
        </w:rPr>
        <w:t>Acmet</w:t>
      </w:r>
      <w:proofErr w:type="spellEnd"/>
      <w:r w:rsidRPr="00BC23B1">
        <w:rPr>
          <w:rFonts w:ascii="Palatino Linotype" w:hAnsi="Palatino Linotype" w:cs="Arial"/>
          <w:b/>
        </w:rPr>
        <w:t xml:space="preserve"> London College</w:t>
      </w:r>
    </w:p>
    <w:p w14:paraId="57C51DA7" w14:textId="77777777" w:rsidR="002468C0" w:rsidRPr="002D7C73" w:rsidRDefault="002468C0" w:rsidP="002468C0">
      <w:pPr>
        <w:jc w:val="center"/>
        <w:rPr>
          <w:rFonts w:ascii="Palatino Linotype" w:hAnsi="Palatino Linotype" w:cs="Arial"/>
          <w:b/>
        </w:rPr>
      </w:pPr>
    </w:p>
    <w:p w14:paraId="352D24FB" w14:textId="77777777" w:rsidR="00EF4A5A" w:rsidRPr="00B15B8C" w:rsidRDefault="00EF4A5A" w:rsidP="00EF4A5A">
      <w:pPr>
        <w:spacing w:after="120" w:line="360" w:lineRule="auto"/>
        <w:jc w:val="center"/>
        <w:outlineLvl w:val="0"/>
        <w:rPr>
          <w:rFonts w:ascii="Palatino Linotype" w:eastAsia="Times New Roman" w:hAnsi="Palatino Linotype" w:cs="Times New Roman"/>
          <w:b/>
          <w:bCs/>
          <w:color w:val="1F1F1F"/>
          <w:kern w:val="36"/>
          <w:lang w:eastAsia="en-GB"/>
        </w:rPr>
      </w:pPr>
      <w:r w:rsidRPr="00B15B8C">
        <w:rPr>
          <w:rFonts w:ascii="Palatino Linotype" w:eastAsia="Times New Roman" w:hAnsi="Palatino Linotype" w:cs="Times New Roman"/>
          <w:b/>
          <w:bCs/>
          <w:color w:val="1F1F1F"/>
          <w:kern w:val="36"/>
          <w:lang w:eastAsia="en-GB"/>
        </w:rPr>
        <w:t>Risk Management Policy</w:t>
      </w:r>
    </w:p>
    <w:p w14:paraId="2E2F2548" w14:textId="77777777" w:rsidR="002468C0" w:rsidRPr="002D7C73" w:rsidRDefault="002468C0" w:rsidP="002468C0">
      <w:pPr>
        <w:jc w:val="center"/>
        <w:rPr>
          <w:rFonts w:ascii="Palatino Linotype" w:hAnsi="Palatino Linotype" w:cs="Arial"/>
          <w:b/>
        </w:rPr>
      </w:pPr>
    </w:p>
    <w:p w14:paraId="61B61239" w14:textId="7D4CC8BB" w:rsidR="002468C0" w:rsidRPr="002D7C73" w:rsidRDefault="002468C0" w:rsidP="002468C0">
      <w:pPr>
        <w:rPr>
          <w:rFonts w:ascii="Palatino Linotype" w:hAnsi="Palatino Linotype" w:cs="Arial"/>
        </w:rPr>
      </w:pPr>
      <w:r w:rsidRPr="002D7C73">
        <w:rPr>
          <w:rFonts w:ascii="Palatino Linotype" w:hAnsi="Palatino Linotype" w:cs="Arial"/>
          <w:b/>
        </w:rPr>
        <w:t xml:space="preserve">1. </w:t>
      </w:r>
      <w:r w:rsidR="00CE3286" w:rsidRPr="004F03D9">
        <w:rPr>
          <w:rFonts w:ascii="Palatino Linotype" w:eastAsia="Times New Roman" w:hAnsi="Palatino Linotype" w:cs="Arial"/>
          <w:b/>
          <w:bCs/>
          <w:color w:val="000000" w:themeColor="text1"/>
          <w:lang w:eastAsia="en-GB"/>
        </w:rPr>
        <w:t>Introduction</w:t>
      </w:r>
    </w:p>
    <w:p w14:paraId="20E5F119" w14:textId="77777777" w:rsidR="002468C0" w:rsidRPr="002D7C73" w:rsidRDefault="002468C0" w:rsidP="002468C0">
      <w:pPr>
        <w:rPr>
          <w:rFonts w:ascii="Palatino Linotype" w:hAnsi="Palatino Linotype" w:cs="Arial"/>
        </w:rPr>
      </w:pPr>
    </w:p>
    <w:p w14:paraId="47484514" w14:textId="744EE157" w:rsidR="002468C0" w:rsidRPr="00EF4A5A" w:rsidRDefault="00EF4A5A" w:rsidP="00EF4A5A">
      <w:pPr>
        <w:spacing w:after="384" w:line="360" w:lineRule="auto"/>
        <w:rPr>
          <w:rFonts w:ascii="Palatino Linotype" w:eastAsia="Times New Roman" w:hAnsi="Palatino Linotype" w:cs="Hind"/>
          <w:color w:val="2B2A2A"/>
          <w:lang w:eastAsia="en-GB"/>
        </w:rPr>
      </w:pPr>
      <w:r w:rsidRPr="00B15B8C">
        <w:rPr>
          <w:rFonts w:ascii="Palatino Linotype" w:eastAsia="Times New Roman" w:hAnsi="Palatino Linotype" w:cs="Hind"/>
          <w:color w:val="2B2A2A"/>
          <w:lang w:eastAsia="en-GB"/>
        </w:rPr>
        <w:t xml:space="preserve">This Risk Management policy forms part of ALC’s internal control and corporate governance arrangements. The policy explains ALC’s approach to risk management, documents the roles and responsibilities of the Governing Body and college staff. The document also outlines key aspects of the risk management </w:t>
      </w:r>
      <w:r w:rsidR="00774D8F" w:rsidRPr="00B15B8C">
        <w:rPr>
          <w:rFonts w:ascii="Palatino Linotype" w:eastAsia="Times New Roman" w:hAnsi="Palatino Linotype" w:cs="Hind"/>
          <w:color w:val="2B2A2A"/>
          <w:lang w:eastAsia="en-GB"/>
        </w:rPr>
        <w:t>process and</w:t>
      </w:r>
      <w:r w:rsidRPr="00B15B8C">
        <w:rPr>
          <w:rFonts w:ascii="Palatino Linotype" w:eastAsia="Times New Roman" w:hAnsi="Palatino Linotype" w:cs="Hind"/>
          <w:color w:val="2B2A2A"/>
          <w:lang w:eastAsia="en-GB"/>
        </w:rPr>
        <w:t xml:space="preserve"> identifies the main reporting procedures. In addition, it describes the process that will be used to evaluate the effectiveness of ALC’s internal control procedures.</w:t>
      </w:r>
    </w:p>
    <w:p w14:paraId="19361752" w14:textId="67DAEB49" w:rsidR="00EF4A5A" w:rsidRDefault="002468C0" w:rsidP="00EF4A5A">
      <w:pPr>
        <w:rPr>
          <w:rFonts w:ascii="Palatino Linotype" w:eastAsia="Times New Roman" w:hAnsi="Palatino Linotype" w:cs="Times New Roman"/>
          <w:b/>
          <w:bCs/>
          <w:color w:val="2B2A2A"/>
          <w:lang w:eastAsia="en-GB"/>
        </w:rPr>
      </w:pPr>
      <w:r w:rsidRPr="002D7C73">
        <w:rPr>
          <w:rFonts w:ascii="Palatino Linotype" w:hAnsi="Palatino Linotype" w:cs="Arial"/>
          <w:b/>
        </w:rPr>
        <w:t xml:space="preserve">2. </w:t>
      </w:r>
      <w:r w:rsidR="00EF4A5A" w:rsidRPr="00B15B8C">
        <w:rPr>
          <w:rFonts w:ascii="Palatino Linotype" w:eastAsia="Times New Roman" w:hAnsi="Palatino Linotype" w:cs="Times New Roman"/>
          <w:b/>
          <w:bCs/>
          <w:color w:val="2B2A2A"/>
          <w:lang w:eastAsia="en-GB"/>
        </w:rPr>
        <w:t>Attitude to risk</w:t>
      </w:r>
    </w:p>
    <w:p w14:paraId="12C7774B" w14:textId="77777777" w:rsidR="00EF4A5A" w:rsidRPr="00B15B8C" w:rsidRDefault="00EF4A5A" w:rsidP="00EF4A5A">
      <w:pPr>
        <w:rPr>
          <w:rFonts w:ascii="Palatino Linotype" w:hAnsi="Palatino Linotype" w:cs="Arial"/>
          <w:b/>
        </w:rPr>
      </w:pPr>
    </w:p>
    <w:p w14:paraId="0B4324DB" w14:textId="4E33C460" w:rsidR="00EF4A5A" w:rsidRDefault="00EF4A5A" w:rsidP="00EF4A5A">
      <w:pPr>
        <w:spacing w:after="384" w:line="360" w:lineRule="auto"/>
        <w:rPr>
          <w:rFonts w:ascii="Palatino Linotype" w:eastAsia="Times New Roman" w:hAnsi="Palatino Linotype" w:cs="Hind"/>
          <w:color w:val="2B2A2A"/>
          <w:lang w:eastAsia="en-GB"/>
        </w:rPr>
      </w:pPr>
      <w:r w:rsidRPr="00B15B8C">
        <w:rPr>
          <w:rFonts w:ascii="Palatino Linotype" w:eastAsia="Times New Roman" w:hAnsi="Palatino Linotype" w:cs="Hind"/>
          <w:color w:val="2B2A2A"/>
          <w:lang w:eastAsia="en-GB"/>
        </w:rPr>
        <w:t>In pursuing its objectives, the College will generally accept a level of risk proportionate to the expected benefits to be gained, and the scale or likelihood of damage. ALC has a high appetite for risk in the context of encouraging and promoting critical enquiry, academic freedom, freedom of expression, and open debate.</w:t>
      </w:r>
      <w:r>
        <w:rPr>
          <w:rFonts w:ascii="Palatino Linotype" w:eastAsia="Times New Roman" w:hAnsi="Palatino Linotype" w:cs="Hind"/>
          <w:color w:val="2B2A2A"/>
          <w:lang w:eastAsia="en-GB"/>
        </w:rPr>
        <w:t xml:space="preserve"> </w:t>
      </w:r>
      <w:r w:rsidRPr="00B15B8C">
        <w:rPr>
          <w:rFonts w:ascii="Palatino Linotype" w:eastAsia="Times New Roman" w:hAnsi="Palatino Linotype" w:cs="Hind"/>
          <w:color w:val="2B2A2A"/>
          <w:lang w:eastAsia="en-GB"/>
        </w:rPr>
        <w:t>ALC has a very low appetite for risk where there is a likelihood of significant and lasting reputational damage; significant and lasting damage to its provision of research or teaching; significant financial loss or significant negative variations to financial plans; loss of life or harm to students, staff, collaborators.</w:t>
      </w:r>
    </w:p>
    <w:p w14:paraId="585C7904" w14:textId="77777777" w:rsidR="00EF4A5A" w:rsidRPr="00B15B8C" w:rsidRDefault="00EF4A5A" w:rsidP="00EF4A5A">
      <w:pPr>
        <w:spacing w:after="384" w:line="360" w:lineRule="auto"/>
        <w:rPr>
          <w:rFonts w:ascii="Palatino Linotype" w:eastAsia="Times New Roman" w:hAnsi="Palatino Linotype" w:cs="Hind"/>
          <w:color w:val="2B2A2A"/>
          <w:lang w:eastAsia="en-GB"/>
        </w:rPr>
      </w:pPr>
    </w:p>
    <w:p w14:paraId="29E98D1F" w14:textId="29F5961B" w:rsidR="00EF4A5A" w:rsidRPr="00B15B8C" w:rsidRDefault="00EF4A5A" w:rsidP="00EF4A5A">
      <w:pPr>
        <w:spacing w:after="120" w:line="360" w:lineRule="auto"/>
        <w:outlineLvl w:val="1"/>
        <w:rPr>
          <w:rFonts w:ascii="Palatino Linotype" w:eastAsia="Times New Roman" w:hAnsi="Palatino Linotype" w:cs="Times New Roman"/>
          <w:b/>
          <w:bCs/>
          <w:color w:val="2B2A2A"/>
          <w:lang w:eastAsia="en-GB"/>
        </w:rPr>
      </w:pPr>
      <w:r>
        <w:rPr>
          <w:rFonts w:ascii="Palatino Linotype" w:eastAsia="Times New Roman" w:hAnsi="Palatino Linotype" w:cs="Times New Roman"/>
          <w:b/>
          <w:bCs/>
          <w:color w:val="2B2A2A"/>
          <w:lang w:eastAsia="en-GB"/>
        </w:rPr>
        <w:t xml:space="preserve">3. </w:t>
      </w:r>
      <w:r w:rsidRPr="00B15B8C">
        <w:rPr>
          <w:rFonts w:ascii="Palatino Linotype" w:eastAsia="Times New Roman" w:hAnsi="Palatino Linotype" w:cs="Times New Roman"/>
          <w:b/>
          <w:bCs/>
          <w:color w:val="2B2A2A"/>
          <w:lang w:eastAsia="en-GB"/>
        </w:rPr>
        <w:t>Approach to risk management</w:t>
      </w:r>
    </w:p>
    <w:p w14:paraId="7FD7B480" w14:textId="77777777" w:rsidR="00EF4A5A" w:rsidRPr="00B15B8C" w:rsidRDefault="00EF4A5A" w:rsidP="00EF4A5A">
      <w:pPr>
        <w:spacing w:after="384" w:line="360" w:lineRule="auto"/>
        <w:rPr>
          <w:rFonts w:ascii="Palatino Linotype" w:eastAsia="Times New Roman" w:hAnsi="Palatino Linotype" w:cs="Hind"/>
          <w:color w:val="2B2A2A"/>
          <w:lang w:eastAsia="en-GB"/>
        </w:rPr>
      </w:pPr>
      <w:r w:rsidRPr="00B15B8C">
        <w:rPr>
          <w:rFonts w:ascii="Palatino Linotype" w:eastAsia="Times New Roman" w:hAnsi="Palatino Linotype" w:cs="Hind"/>
          <w:color w:val="2B2A2A"/>
          <w:lang w:eastAsia="en-GB"/>
        </w:rPr>
        <w:t xml:space="preserve">ALC follows and adopts good practice in the identification, </w:t>
      </w:r>
      <w:proofErr w:type="gramStart"/>
      <w:r w:rsidRPr="00B15B8C">
        <w:rPr>
          <w:rFonts w:ascii="Palatino Linotype" w:eastAsia="Times New Roman" w:hAnsi="Palatino Linotype" w:cs="Hind"/>
          <w:color w:val="2B2A2A"/>
          <w:lang w:eastAsia="en-GB"/>
        </w:rPr>
        <w:t>evaluation</w:t>
      </w:r>
      <w:proofErr w:type="gramEnd"/>
      <w:r w:rsidRPr="00B15B8C">
        <w:rPr>
          <w:rFonts w:ascii="Palatino Linotype" w:eastAsia="Times New Roman" w:hAnsi="Palatino Linotype" w:cs="Hind"/>
          <w:color w:val="2B2A2A"/>
          <w:lang w:eastAsia="en-GB"/>
        </w:rPr>
        <w:t xml:space="preserve"> and control of risks to ensure that, as far as reasonably practicable, risks are avoided or reduced to an acceptable level. Although it is acknowledged that risks exist and can never be eliminated, it is important that all members and staff are aware of risk associated with their area of work. The following key principles outline ALC’s approach to risk management:</w:t>
      </w:r>
    </w:p>
    <w:p w14:paraId="11349554" w14:textId="54A3E4A9" w:rsidR="00EF4A5A" w:rsidRPr="00B15B8C" w:rsidRDefault="00774D8F" w:rsidP="00774D8F">
      <w:pPr>
        <w:numPr>
          <w:ilvl w:val="0"/>
          <w:numId w:val="3"/>
        </w:numPr>
        <w:spacing w:after="120" w:line="360" w:lineRule="auto"/>
        <w:rPr>
          <w:rFonts w:ascii="Palatino Linotype" w:eastAsia="Times New Roman" w:hAnsi="Palatino Linotype" w:cs="Times New Roman"/>
          <w:color w:val="2B2A2A"/>
          <w:lang w:eastAsia="en-GB"/>
        </w:rPr>
      </w:pPr>
      <w:r>
        <w:rPr>
          <w:rFonts w:ascii="Palatino Linotype" w:eastAsia="Times New Roman" w:hAnsi="Palatino Linotype" w:cs="Times New Roman"/>
          <w:color w:val="2B2A2A"/>
          <w:lang w:eastAsia="en-GB"/>
        </w:rPr>
        <w:t>T</w:t>
      </w:r>
      <w:r w:rsidR="00EF4A5A" w:rsidRPr="00B15B8C">
        <w:rPr>
          <w:rFonts w:ascii="Palatino Linotype" w:eastAsia="Times New Roman" w:hAnsi="Palatino Linotype" w:cs="Times New Roman"/>
          <w:color w:val="2B2A2A"/>
          <w:lang w:eastAsia="en-GB"/>
        </w:rPr>
        <w:t xml:space="preserve">he Governing Body has responsibility for overseeing risk management within </w:t>
      </w:r>
      <w:r w:rsidRPr="00B15B8C">
        <w:rPr>
          <w:rFonts w:ascii="Palatino Linotype" w:eastAsia="Times New Roman" w:hAnsi="Palatino Linotype" w:cs="Times New Roman"/>
          <w:color w:val="2B2A2A"/>
          <w:lang w:eastAsia="en-GB"/>
        </w:rPr>
        <w:t>ALC.</w:t>
      </w:r>
    </w:p>
    <w:p w14:paraId="2951708A" w14:textId="6E2CBEC5" w:rsidR="00EF4A5A" w:rsidRPr="00B15B8C" w:rsidRDefault="00EF4A5A" w:rsidP="00774D8F">
      <w:pPr>
        <w:numPr>
          <w:ilvl w:val="0"/>
          <w:numId w:val="3"/>
        </w:numPr>
        <w:spacing w:after="120" w:line="360" w:lineRule="auto"/>
        <w:rPr>
          <w:rFonts w:ascii="Palatino Linotype" w:eastAsia="Times New Roman" w:hAnsi="Palatino Linotype" w:cs="Times New Roman"/>
          <w:color w:val="2B2A2A"/>
          <w:lang w:eastAsia="en-GB"/>
        </w:rPr>
      </w:pPr>
      <w:r w:rsidRPr="00B15B8C">
        <w:rPr>
          <w:rFonts w:ascii="Palatino Linotype" w:eastAsia="Times New Roman" w:hAnsi="Palatino Linotype" w:cs="Times New Roman"/>
          <w:color w:val="2B2A2A"/>
          <w:lang w:eastAsia="en-GB"/>
        </w:rPr>
        <w:t xml:space="preserve">College staff advise on and implements policies approved by the Governing Body and are responsible for encouraging good risk management practice within their areas of </w:t>
      </w:r>
      <w:r w:rsidR="00774D8F" w:rsidRPr="00B15B8C">
        <w:rPr>
          <w:rFonts w:ascii="Palatino Linotype" w:eastAsia="Times New Roman" w:hAnsi="Palatino Linotype" w:cs="Times New Roman"/>
          <w:color w:val="2B2A2A"/>
          <w:lang w:eastAsia="en-GB"/>
        </w:rPr>
        <w:t>responsibility.</w:t>
      </w:r>
    </w:p>
    <w:p w14:paraId="34571A60" w14:textId="344D9954" w:rsidR="00EF4A5A" w:rsidRDefault="00774D8F" w:rsidP="00774D8F">
      <w:pPr>
        <w:numPr>
          <w:ilvl w:val="0"/>
          <w:numId w:val="3"/>
        </w:numPr>
        <w:spacing w:line="360" w:lineRule="auto"/>
        <w:rPr>
          <w:rFonts w:ascii="Palatino Linotype" w:eastAsia="Times New Roman" w:hAnsi="Palatino Linotype" w:cs="Times New Roman"/>
          <w:color w:val="2B2A2A"/>
          <w:lang w:eastAsia="en-GB"/>
        </w:rPr>
      </w:pPr>
      <w:r>
        <w:rPr>
          <w:rFonts w:ascii="Palatino Linotype" w:eastAsia="Times New Roman" w:hAnsi="Palatino Linotype" w:cs="Times New Roman"/>
          <w:color w:val="2B2A2A"/>
          <w:lang w:eastAsia="en-GB"/>
        </w:rPr>
        <w:t>K</w:t>
      </w:r>
      <w:r w:rsidR="00EF4A5A" w:rsidRPr="00B15B8C">
        <w:rPr>
          <w:rFonts w:ascii="Palatino Linotype" w:eastAsia="Times New Roman" w:hAnsi="Palatino Linotype" w:cs="Times New Roman"/>
          <w:color w:val="2B2A2A"/>
          <w:lang w:eastAsia="en-GB"/>
        </w:rPr>
        <w:t>ey risks will be identified and monitored on a regular basis.</w:t>
      </w:r>
    </w:p>
    <w:p w14:paraId="0C9BB037" w14:textId="77777777" w:rsidR="00EF4A5A" w:rsidRPr="00B15B8C" w:rsidRDefault="00EF4A5A" w:rsidP="00EF4A5A">
      <w:pPr>
        <w:spacing w:line="360" w:lineRule="auto"/>
        <w:ind w:left="720"/>
        <w:rPr>
          <w:rFonts w:ascii="Palatino Linotype" w:eastAsia="Times New Roman" w:hAnsi="Palatino Linotype" w:cs="Times New Roman"/>
          <w:color w:val="2B2A2A"/>
          <w:lang w:eastAsia="en-GB"/>
        </w:rPr>
      </w:pPr>
    </w:p>
    <w:p w14:paraId="4BC3F191" w14:textId="60121714" w:rsidR="00EF4A5A" w:rsidRPr="00B15B8C" w:rsidRDefault="00EF4A5A" w:rsidP="00EF4A5A">
      <w:pPr>
        <w:spacing w:after="120" w:line="360" w:lineRule="auto"/>
        <w:outlineLvl w:val="1"/>
        <w:rPr>
          <w:rFonts w:ascii="Palatino Linotype" w:eastAsia="Times New Roman" w:hAnsi="Palatino Linotype" w:cs="Times New Roman"/>
          <w:b/>
          <w:bCs/>
          <w:color w:val="2B2A2A"/>
          <w:lang w:eastAsia="en-GB"/>
        </w:rPr>
      </w:pPr>
      <w:r>
        <w:rPr>
          <w:rFonts w:ascii="Palatino Linotype" w:eastAsia="Times New Roman" w:hAnsi="Palatino Linotype" w:cs="Times New Roman"/>
          <w:b/>
          <w:bCs/>
          <w:color w:val="2B2A2A"/>
          <w:lang w:eastAsia="en-GB"/>
        </w:rPr>
        <w:t xml:space="preserve">4. </w:t>
      </w:r>
      <w:r w:rsidRPr="00B15B8C">
        <w:rPr>
          <w:rFonts w:ascii="Palatino Linotype" w:eastAsia="Times New Roman" w:hAnsi="Palatino Linotype" w:cs="Times New Roman"/>
          <w:b/>
          <w:bCs/>
          <w:color w:val="2B2A2A"/>
          <w:lang w:eastAsia="en-GB"/>
        </w:rPr>
        <w:t>Role of the Governing Body</w:t>
      </w:r>
    </w:p>
    <w:p w14:paraId="3C5E7FC8" w14:textId="1A3496EA" w:rsidR="00774D8F" w:rsidRDefault="00EF4A5A" w:rsidP="00EF4A5A">
      <w:pPr>
        <w:spacing w:after="384" w:line="360" w:lineRule="auto"/>
        <w:rPr>
          <w:rFonts w:ascii="Palatino Linotype" w:eastAsia="Times New Roman" w:hAnsi="Palatino Linotype" w:cs="Times New Roman"/>
          <w:color w:val="2B2A2A"/>
          <w:lang w:eastAsia="en-GB"/>
        </w:rPr>
      </w:pPr>
      <w:r w:rsidRPr="00B15B8C">
        <w:rPr>
          <w:rFonts w:ascii="Palatino Linotype" w:eastAsia="Times New Roman" w:hAnsi="Palatino Linotype" w:cs="Hind"/>
          <w:color w:val="2B2A2A"/>
          <w:lang w:eastAsia="en-GB"/>
        </w:rPr>
        <w:t>The Governing Body has a fundamental role to play in the management of risk. Its role is to</w:t>
      </w:r>
      <w:r>
        <w:rPr>
          <w:rFonts w:ascii="Palatino Linotype" w:eastAsia="Times New Roman" w:hAnsi="Palatino Linotype" w:cs="Hind"/>
          <w:color w:val="2B2A2A"/>
          <w:lang w:eastAsia="en-GB"/>
        </w:rPr>
        <w:t xml:space="preserve"> </w:t>
      </w:r>
      <w:r>
        <w:rPr>
          <w:rFonts w:ascii="Palatino Linotype" w:eastAsia="Times New Roman" w:hAnsi="Palatino Linotype" w:cs="Times New Roman"/>
          <w:color w:val="2B2A2A"/>
          <w:lang w:eastAsia="en-GB"/>
        </w:rPr>
        <w:t>i</w:t>
      </w:r>
      <w:r w:rsidRPr="00B15B8C">
        <w:rPr>
          <w:rFonts w:ascii="Palatino Linotype" w:eastAsia="Times New Roman" w:hAnsi="Palatino Linotype" w:cs="Times New Roman"/>
          <w:color w:val="2B2A2A"/>
          <w:lang w:eastAsia="en-GB"/>
        </w:rPr>
        <w:t xml:space="preserve">ntegrate risk management into the culture of ALC. This </w:t>
      </w:r>
      <w:proofErr w:type="gramStart"/>
      <w:r w:rsidRPr="00B15B8C">
        <w:rPr>
          <w:rFonts w:ascii="Palatino Linotype" w:eastAsia="Times New Roman" w:hAnsi="Palatino Linotype" w:cs="Times New Roman"/>
          <w:color w:val="2B2A2A"/>
          <w:lang w:eastAsia="en-GB"/>
        </w:rPr>
        <w:t>includes:</w:t>
      </w:r>
      <w:proofErr w:type="gramEnd"/>
      <w:r w:rsidRPr="00B15B8C">
        <w:rPr>
          <w:rFonts w:ascii="Palatino Linotype" w:eastAsia="Times New Roman" w:hAnsi="Palatino Linotype" w:cs="Times New Roman"/>
          <w:color w:val="2B2A2A"/>
          <w:lang w:eastAsia="en-GB"/>
        </w:rPr>
        <w:t xml:space="preserve"> determining ALC’s approach to risk as a whole or on any relevant individual issue, determining which types of risk are acceptable and which are not setting the standards and expectations of members and staff with respect to conduct and probity, considering legal compliance as a minimum standard, anticipating and responding, whenever possible, to changing social environmental and legislative requirements, and raising awareness of the need for risk management.</w:t>
      </w:r>
    </w:p>
    <w:p w14:paraId="79C316C3" w14:textId="77777777" w:rsidR="005A7625" w:rsidRPr="00B15B8C" w:rsidRDefault="005A7625" w:rsidP="00EF4A5A">
      <w:pPr>
        <w:spacing w:after="384" w:line="360" w:lineRule="auto"/>
        <w:rPr>
          <w:rFonts w:ascii="Palatino Linotype" w:eastAsia="Times New Roman" w:hAnsi="Palatino Linotype" w:cs="Times New Roman"/>
          <w:color w:val="2B2A2A"/>
          <w:lang w:eastAsia="en-GB"/>
        </w:rPr>
      </w:pPr>
    </w:p>
    <w:p w14:paraId="6DAA667A" w14:textId="77777777" w:rsidR="00EF4A5A" w:rsidRPr="00B15B8C" w:rsidRDefault="00EF4A5A" w:rsidP="00774D8F">
      <w:pPr>
        <w:numPr>
          <w:ilvl w:val="0"/>
          <w:numId w:val="4"/>
        </w:numPr>
        <w:spacing w:after="120" w:line="360" w:lineRule="auto"/>
        <w:rPr>
          <w:rFonts w:ascii="Palatino Linotype" w:eastAsia="Times New Roman" w:hAnsi="Palatino Linotype" w:cs="Times New Roman"/>
          <w:color w:val="2B2A2A"/>
          <w:lang w:eastAsia="en-GB"/>
        </w:rPr>
      </w:pPr>
      <w:r w:rsidRPr="00B15B8C">
        <w:rPr>
          <w:rFonts w:ascii="Palatino Linotype" w:eastAsia="Times New Roman" w:hAnsi="Palatino Linotype" w:cs="Times New Roman"/>
          <w:color w:val="2B2A2A"/>
          <w:lang w:eastAsia="en-GB"/>
        </w:rPr>
        <w:t>Take major decisions affecting ALC’s risk profile or exposure.</w:t>
      </w:r>
    </w:p>
    <w:p w14:paraId="3D2A528D" w14:textId="77777777" w:rsidR="00EF4A5A" w:rsidRPr="00B15B8C" w:rsidRDefault="00EF4A5A" w:rsidP="00774D8F">
      <w:pPr>
        <w:numPr>
          <w:ilvl w:val="0"/>
          <w:numId w:val="4"/>
        </w:numPr>
        <w:spacing w:after="120" w:line="360" w:lineRule="auto"/>
        <w:rPr>
          <w:rFonts w:ascii="Palatino Linotype" w:eastAsia="Times New Roman" w:hAnsi="Palatino Linotype" w:cs="Times New Roman"/>
          <w:color w:val="2B2A2A"/>
          <w:lang w:eastAsia="en-GB"/>
        </w:rPr>
      </w:pPr>
      <w:r w:rsidRPr="00B15B8C">
        <w:rPr>
          <w:rFonts w:ascii="Palatino Linotype" w:eastAsia="Times New Roman" w:hAnsi="Palatino Linotype" w:cs="Times New Roman"/>
          <w:color w:val="2B2A2A"/>
          <w:lang w:eastAsia="en-GB"/>
        </w:rPr>
        <w:t>Monitor the management of significant risks to reduce the likelihood of unwelcome surprises.</w:t>
      </w:r>
    </w:p>
    <w:p w14:paraId="1BADCB35" w14:textId="77777777" w:rsidR="00EF4A5A" w:rsidRPr="00B15B8C" w:rsidRDefault="00EF4A5A" w:rsidP="00774D8F">
      <w:pPr>
        <w:numPr>
          <w:ilvl w:val="0"/>
          <w:numId w:val="4"/>
        </w:numPr>
        <w:spacing w:after="120" w:line="360" w:lineRule="auto"/>
        <w:rPr>
          <w:rFonts w:ascii="Palatino Linotype" w:eastAsia="Times New Roman" w:hAnsi="Palatino Linotype" w:cs="Times New Roman"/>
          <w:color w:val="2B2A2A"/>
          <w:lang w:eastAsia="en-GB"/>
        </w:rPr>
      </w:pPr>
      <w:r w:rsidRPr="00B15B8C">
        <w:rPr>
          <w:rFonts w:ascii="Palatino Linotype" w:eastAsia="Times New Roman" w:hAnsi="Palatino Linotype" w:cs="Times New Roman"/>
          <w:color w:val="2B2A2A"/>
          <w:lang w:eastAsia="en-GB"/>
        </w:rPr>
        <w:t>Ensure that the less significant risks are being actively managed, with the appropriate controls in place and working effectively.</w:t>
      </w:r>
    </w:p>
    <w:p w14:paraId="75597DE0" w14:textId="42CB32E3" w:rsidR="00EF4A5A" w:rsidRDefault="00EF4A5A" w:rsidP="00774D8F">
      <w:pPr>
        <w:numPr>
          <w:ilvl w:val="0"/>
          <w:numId w:val="4"/>
        </w:numPr>
        <w:spacing w:line="360" w:lineRule="auto"/>
        <w:rPr>
          <w:rFonts w:ascii="Palatino Linotype" w:eastAsia="Times New Roman" w:hAnsi="Palatino Linotype" w:cs="Times New Roman"/>
          <w:color w:val="2B2A2A"/>
          <w:lang w:eastAsia="en-GB"/>
        </w:rPr>
      </w:pPr>
      <w:r w:rsidRPr="00B15B8C">
        <w:rPr>
          <w:rFonts w:ascii="Palatino Linotype" w:eastAsia="Times New Roman" w:hAnsi="Palatino Linotype" w:cs="Times New Roman"/>
          <w:color w:val="2B2A2A"/>
          <w:lang w:eastAsia="en-GB"/>
        </w:rPr>
        <w:t>Annually review ALC’s approach to risk management and approve changes or improvements to key elements of its processes and procedures.</w:t>
      </w:r>
    </w:p>
    <w:p w14:paraId="053F017A" w14:textId="77777777" w:rsidR="00EF4A5A" w:rsidRPr="00B15B8C" w:rsidRDefault="00EF4A5A" w:rsidP="00EF4A5A">
      <w:pPr>
        <w:spacing w:line="360" w:lineRule="auto"/>
        <w:ind w:left="720"/>
        <w:rPr>
          <w:rFonts w:ascii="Palatino Linotype" w:eastAsia="Times New Roman" w:hAnsi="Palatino Linotype" w:cs="Times New Roman"/>
          <w:color w:val="2B2A2A"/>
          <w:lang w:eastAsia="en-GB"/>
        </w:rPr>
      </w:pPr>
    </w:p>
    <w:p w14:paraId="5D28459D" w14:textId="2C029269" w:rsidR="00EF4A5A" w:rsidRPr="00B15B8C" w:rsidRDefault="00EF4A5A" w:rsidP="00EF4A5A">
      <w:pPr>
        <w:spacing w:after="120" w:line="360" w:lineRule="auto"/>
        <w:outlineLvl w:val="1"/>
        <w:rPr>
          <w:rFonts w:ascii="Palatino Linotype" w:eastAsia="Times New Roman" w:hAnsi="Palatino Linotype" w:cs="Times New Roman"/>
          <w:b/>
          <w:bCs/>
          <w:color w:val="2B2A2A"/>
          <w:lang w:eastAsia="en-GB"/>
        </w:rPr>
      </w:pPr>
      <w:r>
        <w:rPr>
          <w:rFonts w:ascii="Palatino Linotype" w:eastAsia="Times New Roman" w:hAnsi="Palatino Linotype" w:cs="Times New Roman"/>
          <w:b/>
          <w:bCs/>
          <w:color w:val="2B2A2A"/>
          <w:lang w:eastAsia="en-GB"/>
        </w:rPr>
        <w:t xml:space="preserve">5. </w:t>
      </w:r>
      <w:r w:rsidRPr="00B15B8C">
        <w:rPr>
          <w:rFonts w:ascii="Palatino Linotype" w:eastAsia="Times New Roman" w:hAnsi="Palatino Linotype" w:cs="Times New Roman"/>
          <w:b/>
          <w:bCs/>
          <w:color w:val="2B2A2A"/>
          <w:lang w:eastAsia="en-GB"/>
        </w:rPr>
        <w:t>Role of Senior Leadership team</w:t>
      </w:r>
    </w:p>
    <w:p w14:paraId="6D037CE3" w14:textId="77777777" w:rsidR="00EF4A5A" w:rsidRPr="00B15B8C" w:rsidRDefault="00EF4A5A" w:rsidP="00EF4A5A">
      <w:pPr>
        <w:spacing w:after="384" w:line="360" w:lineRule="auto"/>
        <w:rPr>
          <w:rFonts w:ascii="Palatino Linotype" w:eastAsia="Times New Roman" w:hAnsi="Palatino Linotype" w:cs="Hind"/>
          <w:color w:val="2B2A2A"/>
          <w:lang w:eastAsia="en-GB"/>
        </w:rPr>
      </w:pPr>
      <w:r w:rsidRPr="00B15B8C">
        <w:rPr>
          <w:rFonts w:ascii="Palatino Linotype" w:eastAsia="Times New Roman" w:hAnsi="Palatino Linotype" w:cs="Hind"/>
          <w:color w:val="2B2A2A"/>
          <w:lang w:eastAsia="en-GB"/>
        </w:rPr>
        <w:t>The Senior leadership team are the Principal and Director of Quality Enhancement Financial adviser/Accountant.  Their responsibilities are to</w:t>
      </w:r>
    </w:p>
    <w:p w14:paraId="39DAFD09" w14:textId="77777777" w:rsidR="00EF4A5A" w:rsidRPr="00B15B8C" w:rsidRDefault="00EF4A5A" w:rsidP="00774D8F">
      <w:pPr>
        <w:numPr>
          <w:ilvl w:val="0"/>
          <w:numId w:val="5"/>
        </w:numPr>
        <w:spacing w:after="120" w:line="360" w:lineRule="auto"/>
        <w:rPr>
          <w:rFonts w:ascii="Palatino Linotype" w:eastAsia="Times New Roman" w:hAnsi="Palatino Linotype" w:cs="Times New Roman"/>
          <w:color w:val="2B2A2A"/>
          <w:lang w:eastAsia="en-GB"/>
        </w:rPr>
      </w:pPr>
      <w:r w:rsidRPr="00B15B8C">
        <w:rPr>
          <w:rFonts w:ascii="Palatino Linotype" w:eastAsia="Times New Roman" w:hAnsi="Palatino Linotype" w:cs="Times New Roman"/>
          <w:color w:val="2B2A2A"/>
          <w:lang w:eastAsia="en-GB"/>
        </w:rPr>
        <w:t>Implement policies on risk management.</w:t>
      </w:r>
    </w:p>
    <w:p w14:paraId="212A23C1" w14:textId="77777777" w:rsidR="00EF4A5A" w:rsidRPr="00B15B8C" w:rsidRDefault="00EF4A5A" w:rsidP="00774D8F">
      <w:pPr>
        <w:numPr>
          <w:ilvl w:val="0"/>
          <w:numId w:val="5"/>
        </w:numPr>
        <w:spacing w:after="120" w:line="360" w:lineRule="auto"/>
        <w:rPr>
          <w:rFonts w:ascii="Palatino Linotype" w:eastAsia="Times New Roman" w:hAnsi="Palatino Linotype" w:cs="Times New Roman"/>
          <w:color w:val="2B2A2A"/>
          <w:lang w:eastAsia="en-GB"/>
        </w:rPr>
      </w:pPr>
      <w:r w:rsidRPr="00B15B8C">
        <w:rPr>
          <w:rFonts w:ascii="Palatino Linotype" w:eastAsia="Times New Roman" w:hAnsi="Palatino Linotype" w:cs="Times New Roman"/>
          <w:color w:val="2B2A2A"/>
          <w:lang w:eastAsia="en-GB"/>
        </w:rPr>
        <w:t>Identify and evaluate the significant risks faced by ALC for consideration by the Governing Body.</w:t>
      </w:r>
    </w:p>
    <w:p w14:paraId="68AA62A6" w14:textId="77777777" w:rsidR="00EF4A5A" w:rsidRPr="00B15B8C" w:rsidRDefault="00EF4A5A" w:rsidP="00774D8F">
      <w:pPr>
        <w:numPr>
          <w:ilvl w:val="0"/>
          <w:numId w:val="5"/>
        </w:numPr>
        <w:spacing w:after="120" w:line="360" w:lineRule="auto"/>
        <w:rPr>
          <w:rFonts w:ascii="Palatino Linotype" w:eastAsia="Times New Roman" w:hAnsi="Palatino Linotype" w:cs="Times New Roman"/>
          <w:color w:val="2B2A2A"/>
          <w:lang w:eastAsia="en-GB"/>
        </w:rPr>
      </w:pPr>
      <w:r w:rsidRPr="00B15B8C">
        <w:rPr>
          <w:rFonts w:ascii="Palatino Linotype" w:eastAsia="Times New Roman" w:hAnsi="Palatino Linotype" w:cs="Times New Roman"/>
          <w:color w:val="2B2A2A"/>
          <w:lang w:eastAsia="en-GB"/>
        </w:rPr>
        <w:t>Provide adequate information in a timely manner to the Governing Body and its committees on the status of risks and controls.</w:t>
      </w:r>
    </w:p>
    <w:p w14:paraId="6B977BB4" w14:textId="77777777" w:rsidR="00EF4A5A" w:rsidRDefault="00EF4A5A" w:rsidP="00774D8F">
      <w:pPr>
        <w:numPr>
          <w:ilvl w:val="0"/>
          <w:numId w:val="5"/>
        </w:numPr>
        <w:spacing w:line="360" w:lineRule="auto"/>
        <w:rPr>
          <w:rFonts w:ascii="Palatino Linotype" w:eastAsia="Times New Roman" w:hAnsi="Palatino Linotype" w:cs="Times New Roman"/>
          <w:color w:val="2B2A2A"/>
          <w:lang w:eastAsia="en-GB"/>
        </w:rPr>
      </w:pPr>
      <w:r w:rsidRPr="00B15B8C">
        <w:rPr>
          <w:rFonts w:ascii="Palatino Linotype" w:eastAsia="Times New Roman" w:hAnsi="Palatino Linotype" w:cs="Times New Roman"/>
          <w:color w:val="2B2A2A"/>
          <w:lang w:eastAsia="en-GB"/>
        </w:rPr>
        <w:t>Undertake an annual review of effectiveness of the systems of internal control and report to the Governing Body.</w:t>
      </w:r>
    </w:p>
    <w:p w14:paraId="2D719CD5" w14:textId="77777777" w:rsidR="00EF4A5A" w:rsidRPr="00B15B8C" w:rsidRDefault="00EF4A5A" w:rsidP="00EF4A5A">
      <w:pPr>
        <w:spacing w:line="360" w:lineRule="auto"/>
        <w:ind w:left="720"/>
        <w:rPr>
          <w:rFonts w:ascii="Palatino Linotype" w:eastAsia="Times New Roman" w:hAnsi="Palatino Linotype" w:cs="Times New Roman"/>
          <w:color w:val="2B2A2A"/>
          <w:lang w:eastAsia="en-GB"/>
        </w:rPr>
      </w:pPr>
    </w:p>
    <w:p w14:paraId="7A9A5531" w14:textId="74C56B51" w:rsidR="00EF4A5A" w:rsidRPr="00B15B8C" w:rsidRDefault="00EF4A5A" w:rsidP="00EF4A5A">
      <w:pPr>
        <w:spacing w:after="120" w:line="360" w:lineRule="auto"/>
        <w:outlineLvl w:val="1"/>
        <w:rPr>
          <w:rFonts w:ascii="Palatino Linotype" w:eastAsia="Times New Roman" w:hAnsi="Palatino Linotype" w:cs="Times New Roman"/>
          <w:b/>
          <w:bCs/>
          <w:color w:val="2B2A2A"/>
          <w:lang w:eastAsia="en-GB"/>
        </w:rPr>
      </w:pPr>
      <w:r>
        <w:rPr>
          <w:rFonts w:ascii="Palatino Linotype" w:eastAsia="Times New Roman" w:hAnsi="Palatino Linotype" w:cs="Times New Roman"/>
          <w:b/>
          <w:bCs/>
          <w:color w:val="2B2A2A"/>
          <w:lang w:eastAsia="en-GB"/>
        </w:rPr>
        <w:t xml:space="preserve">6. </w:t>
      </w:r>
      <w:r w:rsidRPr="00B15B8C">
        <w:rPr>
          <w:rFonts w:ascii="Palatino Linotype" w:eastAsia="Times New Roman" w:hAnsi="Palatino Linotype" w:cs="Times New Roman"/>
          <w:b/>
          <w:bCs/>
          <w:color w:val="2B2A2A"/>
          <w:lang w:eastAsia="en-GB"/>
        </w:rPr>
        <w:t>Risk management and the systems of internal control</w:t>
      </w:r>
    </w:p>
    <w:p w14:paraId="6F177316" w14:textId="0CFCA3F1" w:rsidR="00EF4A5A" w:rsidRPr="00437973" w:rsidRDefault="00EF4A5A" w:rsidP="00437973">
      <w:pPr>
        <w:spacing w:after="384" w:line="360" w:lineRule="auto"/>
        <w:rPr>
          <w:rFonts w:ascii="Palatino Linotype" w:eastAsia="Times New Roman" w:hAnsi="Palatino Linotype" w:cs="Hind"/>
          <w:color w:val="2B2A2A"/>
          <w:lang w:eastAsia="en-GB"/>
        </w:rPr>
      </w:pPr>
      <w:r w:rsidRPr="00B15B8C">
        <w:rPr>
          <w:rFonts w:ascii="Palatino Linotype" w:eastAsia="Times New Roman" w:hAnsi="Palatino Linotype" w:cs="Hind"/>
          <w:color w:val="2B2A2A"/>
          <w:lang w:eastAsia="en-GB"/>
        </w:rPr>
        <w:t xml:space="preserve">ALC’s risk management policy includes systems of internal controls. These controls encompass </w:t>
      </w:r>
      <w:proofErr w:type="gramStart"/>
      <w:r w:rsidRPr="00B15B8C">
        <w:rPr>
          <w:rFonts w:ascii="Palatino Linotype" w:eastAsia="Times New Roman" w:hAnsi="Palatino Linotype" w:cs="Hind"/>
          <w:color w:val="2B2A2A"/>
          <w:lang w:eastAsia="en-GB"/>
        </w:rPr>
        <w:t>a number of</w:t>
      </w:r>
      <w:proofErr w:type="gramEnd"/>
      <w:r w:rsidRPr="00B15B8C">
        <w:rPr>
          <w:rFonts w:ascii="Palatino Linotype" w:eastAsia="Times New Roman" w:hAnsi="Palatino Linotype" w:cs="Hind"/>
          <w:color w:val="2B2A2A"/>
          <w:lang w:eastAsia="en-GB"/>
        </w:rPr>
        <w:t xml:space="preserve"> elements that together facilitate an effective </w:t>
      </w:r>
      <w:r w:rsidRPr="00B15B8C">
        <w:rPr>
          <w:rFonts w:ascii="Palatino Linotype" w:eastAsia="Times New Roman" w:hAnsi="Palatino Linotype" w:cs="Hind"/>
          <w:color w:val="2B2A2A"/>
          <w:lang w:eastAsia="en-GB"/>
        </w:rPr>
        <w:lastRenderedPageBreak/>
        <w:t>and efficient operation, enabling ALC to respond to a variety of operational, financial, and commercial risks. These elements include:</w:t>
      </w:r>
    </w:p>
    <w:p w14:paraId="302626D8" w14:textId="6FC964C6" w:rsidR="00EF4A5A" w:rsidRPr="00B15B8C" w:rsidRDefault="00EF4A5A" w:rsidP="00774D8F">
      <w:pPr>
        <w:spacing w:after="120" w:line="360" w:lineRule="auto"/>
        <w:outlineLvl w:val="2"/>
        <w:rPr>
          <w:rFonts w:ascii="Palatino Linotype" w:eastAsia="Times New Roman" w:hAnsi="Palatino Linotype" w:cs="Times New Roman"/>
          <w:b/>
          <w:bCs/>
          <w:color w:val="1F1F1F"/>
          <w:lang w:eastAsia="en-GB"/>
        </w:rPr>
      </w:pPr>
      <w:r w:rsidRPr="00B15B8C">
        <w:rPr>
          <w:rFonts w:ascii="Palatino Linotype" w:eastAsia="Times New Roman" w:hAnsi="Palatino Linotype" w:cs="Times New Roman"/>
          <w:b/>
          <w:bCs/>
          <w:color w:val="1F1F1F"/>
          <w:u w:val="single"/>
          <w:lang w:eastAsia="en-GB"/>
        </w:rPr>
        <w:t>Policies and procedures</w:t>
      </w:r>
      <w:r w:rsidR="00774D8F" w:rsidRPr="00CC136B">
        <w:rPr>
          <w:rFonts w:ascii="Palatino Linotype" w:eastAsia="Times New Roman" w:hAnsi="Palatino Linotype" w:cs="Times New Roman"/>
          <w:b/>
          <w:bCs/>
          <w:color w:val="1F1F1F"/>
          <w:u w:val="single"/>
          <w:lang w:eastAsia="en-GB"/>
        </w:rPr>
        <w:t>:</w:t>
      </w:r>
      <w:r w:rsidR="00774D8F">
        <w:rPr>
          <w:rFonts w:ascii="Palatino Linotype" w:eastAsia="Times New Roman" w:hAnsi="Palatino Linotype" w:cs="Times New Roman"/>
          <w:b/>
          <w:bCs/>
          <w:color w:val="1F1F1F"/>
          <w:lang w:eastAsia="en-GB"/>
        </w:rPr>
        <w:t xml:space="preserve"> </w:t>
      </w:r>
      <w:r w:rsidRPr="00B15B8C">
        <w:rPr>
          <w:rFonts w:ascii="Palatino Linotype" w:eastAsia="Times New Roman" w:hAnsi="Palatino Linotype" w:cs="Hind"/>
          <w:color w:val="2B2A2A"/>
          <w:lang w:eastAsia="en-GB"/>
        </w:rPr>
        <w:t>Series of policies that underpin the internal control process. The policies are set by the Governing Body through its committees and implemented and communicated by Senior College Officers to members and staff. Written procedures support the policies where appropriate.</w:t>
      </w:r>
    </w:p>
    <w:p w14:paraId="0017960F" w14:textId="5DBD287D" w:rsidR="00EF4A5A" w:rsidRPr="00B15B8C" w:rsidRDefault="00EF4A5A" w:rsidP="00774D8F">
      <w:pPr>
        <w:spacing w:after="120" w:line="360" w:lineRule="auto"/>
        <w:outlineLvl w:val="2"/>
        <w:rPr>
          <w:rFonts w:ascii="Palatino Linotype" w:eastAsia="Times New Roman" w:hAnsi="Palatino Linotype" w:cs="Times New Roman"/>
          <w:b/>
          <w:bCs/>
          <w:color w:val="1F1F1F"/>
          <w:lang w:eastAsia="en-GB"/>
        </w:rPr>
      </w:pPr>
      <w:r w:rsidRPr="00B15B8C">
        <w:rPr>
          <w:rFonts w:ascii="Palatino Linotype" w:eastAsia="Times New Roman" w:hAnsi="Palatino Linotype" w:cs="Times New Roman"/>
          <w:b/>
          <w:bCs/>
          <w:color w:val="1F1F1F"/>
          <w:u w:val="single"/>
          <w:lang w:eastAsia="en-GB"/>
        </w:rPr>
        <w:t>Regular reporting</w:t>
      </w:r>
      <w:r w:rsidR="00774D8F" w:rsidRPr="00CC136B">
        <w:rPr>
          <w:rFonts w:ascii="Palatino Linotype" w:eastAsia="Times New Roman" w:hAnsi="Palatino Linotype" w:cs="Times New Roman"/>
          <w:b/>
          <w:bCs/>
          <w:color w:val="1F1F1F"/>
          <w:u w:val="single"/>
          <w:lang w:eastAsia="en-GB"/>
        </w:rPr>
        <w:t>:</w:t>
      </w:r>
      <w:r w:rsidR="00774D8F">
        <w:rPr>
          <w:rFonts w:ascii="Palatino Linotype" w:eastAsia="Times New Roman" w:hAnsi="Palatino Linotype" w:cs="Times New Roman"/>
          <w:b/>
          <w:bCs/>
          <w:color w:val="1F1F1F"/>
          <w:lang w:eastAsia="en-GB"/>
        </w:rPr>
        <w:t xml:space="preserve"> </w:t>
      </w:r>
      <w:r w:rsidRPr="00B15B8C">
        <w:rPr>
          <w:rFonts w:ascii="Palatino Linotype" w:eastAsia="Times New Roman" w:hAnsi="Palatino Linotype" w:cs="Hind"/>
          <w:color w:val="2B2A2A"/>
          <w:lang w:eastAsia="en-GB"/>
        </w:rPr>
        <w:t>Regular reporting is designed to monitor key risks and their controls. Decisions to rectify problems identified are made at regular meetings of the relevant committees of the Governing Body and, if appropriate, of the Governing Body itself.</w:t>
      </w:r>
    </w:p>
    <w:p w14:paraId="0F905178" w14:textId="33A64826" w:rsidR="00EF4A5A" w:rsidRPr="00B15B8C" w:rsidRDefault="00EF4A5A" w:rsidP="00774D8F">
      <w:pPr>
        <w:spacing w:after="120" w:line="360" w:lineRule="auto"/>
        <w:outlineLvl w:val="2"/>
        <w:rPr>
          <w:rFonts w:ascii="Palatino Linotype" w:eastAsia="Times New Roman" w:hAnsi="Palatino Linotype" w:cs="Times New Roman"/>
          <w:b/>
          <w:bCs/>
          <w:color w:val="1F1F1F"/>
          <w:lang w:eastAsia="en-GB"/>
        </w:rPr>
      </w:pPr>
      <w:r w:rsidRPr="00B15B8C">
        <w:rPr>
          <w:rFonts w:ascii="Palatino Linotype" w:eastAsia="Times New Roman" w:hAnsi="Palatino Linotype" w:cs="Times New Roman"/>
          <w:b/>
          <w:bCs/>
          <w:color w:val="1F1F1F"/>
          <w:u w:val="single"/>
          <w:lang w:eastAsia="en-GB"/>
        </w:rPr>
        <w:t>Risk Register</w:t>
      </w:r>
      <w:r w:rsidR="00774D8F" w:rsidRPr="00CC136B">
        <w:rPr>
          <w:rFonts w:ascii="Palatino Linotype" w:eastAsia="Times New Roman" w:hAnsi="Palatino Linotype" w:cs="Times New Roman"/>
          <w:b/>
          <w:bCs/>
          <w:color w:val="1F1F1F"/>
          <w:u w:val="single"/>
          <w:lang w:eastAsia="en-GB"/>
        </w:rPr>
        <w:t>:</w:t>
      </w:r>
      <w:r w:rsidR="00774D8F">
        <w:rPr>
          <w:rFonts w:ascii="Palatino Linotype" w:eastAsia="Times New Roman" w:hAnsi="Palatino Linotype" w:cs="Times New Roman"/>
          <w:b/>
          <w:bCs/>
          <w:color w:val="1F1F1F"/>
          <w:lang w:eastAsia="en-GB"/>
        </w:rPr>
        <w:t xml:space="preserve"> </w:t>
      </w:r>
      <w:r w:rsidR="00774D8F" w:rsidRPr="00B15B8C">
        <w:rPr>
          <w:rFonts w:ascii="Palatino Linotype" w:eastAsia="Times New Roman" w:hAnsi="Palatino Linotype" w:cs="Hind"/>
          <w:color w:val="2B2A2A"/>
          <w:lang w:eastAsia="en-GB"/>
        </w:rPr>
        <w:t>Senior</w:t>
      </w:r>
      <w:r w:rsidRPr="00B15B8C">
        <w:rPr>
          <w:rFonts w:ascii="Palatino Linotype" w:eastAsia="Times New Roman" w:hAnsi="Palatino Linotype" w:cs="Hind"/>
          <w:color w:val="2B2A2A"/>
          <w:lang w:eastAsia="en-GB"/>
        </w:rPr>
        <w:t xml:space="preserve"> leader team is responsible for overseeing the compilation and annual review of an overall Risk Register to facilitate the identification, </w:t>
      </w:r>
      <w:proofErr w:type="gramStart"/>
      <w:r w:rsidRPr="00B15B8C">
        <w:rPr>
          <w:rFonts w:ascii="Palatino Linotype" w:eastAsia="Times New Roman" w:hAnsi="Palatino Linotype" w:cs="Hind"/>
          <w:color w:val="2B2A2A"/>
          <w:lang w:eastAsia="en-GB"/>
        </w:rPr>
        <w:t>assessment</w:t>
      </w:r>
      <w:proofErr w:type="gramEnd"/>
      <w:r w:rsidRPr="00B15B8C">
        <w:rPr>
          <w:rFonts w:ascii="Palatino Linotype" w:eastAsia="Times New Roman" w:hAnsi="Palatino Linotype" w:cs="Hind"/>
          <w:color w:val="2B2A2A"/>
          <w:lang w:eastAsia="en-GB"/>
        </w:rPr>
        <w:t xml:space="preserve"> and ongoing monitoring of major risks to which ALC is exposed.  Emerging risks are added as required, and improvement actions and risk indicators are monitored regularly.</w:t>
      </w:r>
    </w:p>
    <w:p w14:paraId="390BF087" w14:textId="125A5132" w:rsidR="00EF4A5A" w:rsidRPr="00B15B8C" w:rsidRDefault="00EF4A5A" w:rsidP="00774D8F">
      <w:pPr>
        <w:spacing w:after="120" w:line="360" w:lineRule="auto"/>
        <w:outlineLvl w:val="2"/>
        <w:rPr>
          <w:rFonts w:ascii="Palatino Linotype" w:eastAsia="Times New Roman" w:hAnsi="Palatino Linotype" w:cs="Times New Roman"/>
          <w:b/>
          <w:bCs/>
          <w:color w:val="1F1F1F"/>
          <w:lang w:eastAsia="en-GB"/>
        </w:rPr>
      </w:pPr>
      <w:r w:rsidRPr="00B15B8C">
        <w:rPr>
          <w:rFonts w:ascii="Palatino Linotype" w:eastAsia="Times New Roman" w:hAnsi="Palatino Linotype" w:cs="Times New Roman"/>
          <w:b/>
          <w:bCs/>
          <w:color w:val="1F1F1F"/>
          <w:u w:val="single"/>
          <w:lang w:eastAsia="en-GB"/>
        </w:rPr>
        <w:t xml:space="preserve">Departmental responsibilities of College </w:t>
      </w:r>
      <w:r w:rsidRPr="00CC136B">
        <w:rPr>
          <w:rFonts w:ascii="Palatino Linotype" w:eastAsia="Times New Roman" w:hAnsi="Palatino Linotype" w:cs="Times New Roman"/>
          <w:b/>
          <w:bCs/>
          <w:color w:val="1F1F1F"/>
          <w:u w:val="single"/>
          <w:lang w:eastAsia="en-GB"/>
        </w:rPr>
        <w:t>Staff</w:t>
      </w:r>
      <w:r w:rsidR="00774D8F" w:rsidRPr="00CC136B">
        <w:rPr>
          <w:rFonts w:ascii="Palatino Linotype" w:eastAsia="Times New Roman" w:hAnsi="Palatino Linotype" w:cs="Times New Roman"/>
          <w:b/>
          <w:bCs/>
          <w:color w:val="1F1F1F"/>
          <w:u w:val="single"/>
          <w:lang w:eastAsia="en-GB"/>
        </w:rPr>
        <w:t>:</w:t>
      </w:r>
      <w:r w:rsidR="00774D8F">
        <w:rPr>
          <w:rFonts w:ascii="Palatino Linotype" w:eastAsia="Times New Roman" w:hAnsi="Palatino Linotype" w:cs="Times New Roman"/>
          <w:b/>
          <w:bCs/>
          <w:color w:val="1F1F1F"/>
          <w:lang w:eastAsia="en-GB"/>
        </w:rPr>
        <w:t xml:space="preserve"> </w:t>
      </w:r>
      <w:r w:rsidRPr="00B15B8C">
        <w:rPr>
          <w:rFonts w:ascii="Palatino Linotype" w:eastAsia="Times New Roman" w:hAnsi="Palatino Linotype" w:cs="Hind"/>
          <w:color w:val="2B2A2A"/>
          <w:lang w:eastAsia="en-GB"/>
        </w:rPr>
        <w:t xml:space="preserve">College </w:t>
      </w:r>
      <w:r>
        <w:rPr>
          <w:rFonts w:ascii="Palatino Linotype" w:eastAsia="Times New Roman" w:hAnsi="Palatino Linotype" w:cs="Hind"/>
          <w:color w:val="2B2A2A"/>
          <w:lang w:eastAsia="en-GB"/>
        </w:rPr>
        <w:t>staff</w:t>
      </w:r>
      <w:r w:rsidRPr="00B15B8C">
        <w:rPr>
          <w:rFonts w:ascii="Palatino Linotype" w:eastAsia="Times New Roman" w:hAnsi="Palatino Linotype" w:cs="Hind"/>
          <w:color w:val="2B2A2A"/>
          <w:lang w:eastAsia="en-GB"/>
        </w:rPr>
        <w:t xml:space="preserve"> are encouraged to develop and use this approach to ensure that significant risks in their department are identified, </w:t>
      </w:r>
      <w:r w:rsidR="00CC136B" w:rsidRPr="00B15B8C">
        <w:rPr>
          <w:rFonts w:ascii="Palatino Linotype" w:eastAsia="Times New Roman" w:hAnsi="Palatino Linotype" w:cs="Hind"/>
          <w:color w:val="2B2A2A"/>
          <w:lang w:eastAsia="en-GB"/>
        </w:rPr>
        <w:t>assessed,</w:t>
      </w:r>
      <w:r w:rsidRPr="00B15B8C">
        <w:rPr>
          <w:rFonts w:ascii="Palatino Linotype" w:eastAsia="Times New Roman" w:hAnsi="Palatino Linotype" w:cs="Hind"/>
          <w:color w:val="2B2A2A"/>
          <w:lang w:eastAsia="en-GB"/>
        </w:rPr>
        <w:t xml:space="preserve"> and monitored through each department’s risk management systems and procedures.</w:t>
      </w:r>
    </w:p>
    <w:p w14:paraId="1A173839" w14:textId="6E17FA82" w:rsidR="00EF4A5A" w:rsidRPr="00B15B8C" w:rsidRDefault="000B1C66" w:rsidP="00EF4A5A">
      <w:pPr>
        <w:spacing w:after="120" w:line="360" w:lineRule="auto"/>
        <w:outlineLvl w:val="1"/>
        <w:rPr>
          <w:rFonts w:ascii="Palatino Linotype" w:eastAsia="Times New Roman" w:hAnsi="Palatino Linotype" w:cs="Times New Roman"/>
          <w:b/>
          <w:bCs/>
          <w:color w:val="2B2A2A"/>
          <w:lang w:eastAsia="en-GB"/>
        </w:rPr>
      </w:pPr>
      <w:r>
        <w:rPr>
          <w:rFonts w:ascii="Palatino Linotype" w:eastAsia="Times New Roman" w:hAnsi="Palatino Linotype" w:cs="Times New Roman"/>
          <w:b/>
          <w:bCs/>
          <w:color w:val="2B2A2A"/>
          <w:lang w:eastAsia="en-GB"/>
        </w:rPr>
        <w:t>7</w:t>
      </w:r>
      <w:r w:rsidR="00EF4A5A">
        <w:rPr>
          <w:rFonts w:ascii="Palatino Linotype" w:eastAsia="Times New Roman" w:hAnsi="Palatino Linotype" w:cs="Times New Roman"/>
          <w:b/>
          <w:bCs/>
          <w:color w:val="2B2A2A"/>
          <w:lang w:eastAsia="en-GB"/>
        </w:rPr>
        <w:t xml:space="preserve">. </w:t>
      </w:r>
      <w:r w:rsidR="00EF4A5A" w:rsidRPr="00B15B8C">
        <w:rPr>
          <w:rFonts w:ascii="Palatino Linotype" w:eastAsia="Times New Roman" w:hAnsi="Palatino Linotype" w:cs="Times New Roman"/>
          <w:b/>
          <w:bCs/>
          <w:color w:val="2B2A2A"/>
          <w:lang w:eastAsia="en-GB"/>
        </w:rPr>
        <w:t>Annual review of effectiveness</w:t>
      </w:r>
    </w:p>
    <w:p w14:paraId="07D499A2" w14:textId="77777777" w:rsidR="00EF4A5A" w:rsidRPr="00B15B8C" w:rsidRDefault="00EF4A5A" w:rsidP="00EF4A5A">
      <w:pPr>
        <w:spacing w:after="384" w:line="360" w:lineRule="auto"/>
        <w:rPr>
          <w:rFonts w:ascii="Palatino Linotype" w:eastAsia="Times New Roman" w:hAnsi="Palatino Linotype" w:cs="Hind"/>
          <w:color w:val="2B2A2A"/>
          <w:lang w:eastAsia="en-GB"/>
        </w:rPr>
      </w:pPr>
      <w:r w:rsidRPr="00B15B8C">
        <w:rPr>
          <w:rFonts w:ascii="Palatino Linotype" w:eastAsia="Times New Roman" w:hAnsi="Palatino Linotype" w:cs="Hind"/>
          <w:color w:val="2B2A2A"/>
          <w:lang w:eastAsia="en-GB"/>
        </w:rPr>
        <w:t xml:space="preserve">The Governing Body is responsible for reviewing the effectiveness of internal control of ALC.  It will review the Risk Register, consider the internal and external risk profile of the coming </w:t>
      </w:r>
      <w:proofErr w:type="gramStart"/>
      <w:r w:rsidRPr="00B15B8C">
        <w:rPr>
          <w:rFonts w:ascii="Palatino Linotype" w:eastAsia="Times New Roman" w:hAnsi="Palatino Linotype" w:cs="Hind"/>
          <w:color w:val="2B2A2A"/>
          <w:lang w:eastAsia="en-GB"/>
        </w:rPr>
        <w:t>year</w:t>
      </w:r>
      <w:proofErr w:type="gramEnd"/>
      <w:r w:rsidRPr="00B15B8C">
        <w:rPr>
          <w:rFonts w:ascii="Palatino Linotype" w:eastAsia="Times New Roman" w:hAnsi="Palatino Linotype" w:cs="Hind"/>
          <w:color w:val="2B2A2A"/>
          <w:lang w:eastAsia="en-GB"/>
        </w:rPr>
        <w:t xml:space="preserve"> and consider if current internal control arrangements are likely to be effective.</w:t>
      </w:r>
    </w:p>
    <w:p w14:paraId="021694CD" w14:textId="77777777" w:rsidR="00EF4A5A" w:rsidRPr="00B15B8C" w:rsidRDefault="00EF4A5A" w:rsidP="00EF4A5A">
      <w:pPr>
        <w:spacing w:line="360" w:lineRule="auto"/>
        <w:rPr>
          <w:rFonts w:ascii="Palatino Linotype" w:hAnsi="Palatino Linotype"/>
        </w:rPr>
      </w:pPr>
    </w:p>
    <w:p w14:paraId="2FDCD9FD" w14:textId="235637F2" w:rsidR="00F16A12" w:rsidRPr="002D7C73" w:rsidRDefault="00F16A12" w:rsidP="003C30AE">
      <w:pPr>
        <w:rPr>
          <w:rFonts w:ascii="Palatino Linotype" w:hAnsi="Palatino Linotype" w:cs="Arial"/>
        </w:rPr>
      </w:pPr>
    </w:p>
    <w:sectPr w:rsidR="00F16A12" w:rsidRPr="002D7C73" w:rsidSect="002B68FB">
      <w:headerReference w:type="even" r:id="rId9"/>
      <w:footerReference w:type="even" r:id="rId10"/>
      <w:footerReference w:type="default" r:id="rId11"/>
      <w:headerReference w:type="firs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1333" w14:textId="77777777" w:rsidR="002B68FB" w:rsidRDefault="002B68FB" w:rsidP="002468C0">
      <w:r>
        <w:separator/>
      </w:r>
    </w:p>
  </w:endnote>
  <w:endnote w:type="continuationSeparator" w:id="0">
    <w:p w14:paraId="4172AA5A" w14:textId="77777777" w:rsidR="002B68FB" w:rsidRDefault="002B68FB" w:rsidP="0024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Hind">
    <w:panose1 w:val="020000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dobe Garamond Pro Bold">
    <w:altName w:val="Cambria"/>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1549" w14:textId="6CDB7C37" w:rsidR="00594971" w:rsidRDefault="00594971" w:rsidP="005007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72C1">
      <w:rPr>
        <w:rStyle w:val="PageNumber"/>
        <w:noProof/>
      </w:rPr>
      <w:t>2</w:t>
    </w:r>
    <w:r>
      <w:rPr>
        <w:rStyle w:val="PageNumber"/>
      </w:rPr>
      <w:fldChar w:fldCharType="end"/>
    </w:r>
  </w:p>
  <w:p w14:paraId="2479D2A5" w14:textId="3630B16E" w:rsidR="00A57EC7" w:rsidRDefault="00000000">
    <w:pPr>
      <w:pStyle w:val="Footer"/>
    </w:pPr>
    <w:sdt>
      <w:sdtPr>
        <w:id w:val="969400743"/>
        <w:temporary/>
        <w:showingPlcHdr/>
      </w:sdtPr>
      <w:sdtContent>
        <w:r w:rsidR="00594971">
          <w:t>[Type text]</w:t>
        </w:r>
      </w:sdtContent>
    </w:sdt>
    <w:r w:rsidR="00594971">
      <w:ptab w:relativeTo="margin" w:alignment="center" w:leader="none"/>
    </w:r>
    <w:sdt>
      <w:sdtPr>
        <w:id w:val="969400748"/>
        <w:temporary/>
        <w:showingPlcHdr/>
      </w:sdtPr>
      <w:sdtContent>
        <w:r w:rsidR="00594971">
          <w:t>[Type text]</w:t>
        </w:r>
      </w:sdtContent>
    </w:sdt>
    <w:r w:rsidR="00594971">
      <w:ptab w:relativeTo="margin" w:alignment="right" w:leader="none"/>
    </w:r>
    <w:sdt>
      <w:sdtPr>
        <w:id w:val="969400753"/>
        <w:temporary/>
        <w:showingPlcHdr/>
      </w:sdtPr>
      <w:sdtContent>
        <w:r w:rsidR="0059497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655E" w14:textId="77777777" w:rsidR="00594971" w:rsidRPr="00594971" w:rsidRDefault="00594971" w:rsidP="00500722">
    <w:pPr>
      <w:pStyle w:val="Footer"/>
      <w:framePr w:wrap="around" w:vAnchor="text" w:hAnchor="margin" w:xAlign="center" w:y="1"/>
      <w:rPr>
        <w:rStyle w:val="PageNumber"/>
        <w:rFonts w:ascii="Arial" w:hAnsi="Arial" w:cs="Arial"/>
        <w:sz w:val="20"/>
        <w:szCs w:val="20"/>
      </w:rPr>
    </w:pPr>
    <w:r w:rsidRPr="00594971">
      <w:rPr>
        <w:rStyle w:val="PageNumber"/>
        <w:rFonts w:ascii="Arial" w:hAnsi="Arial" w:cs="Arial"/>
        <w:sz w:val="20"/>
        <w:szCs w:val="20"/>
      </w:rPr>
      <w:fldChar w:fldCharType="begin"/>
    </w:r>
    <w:r w:rsidRPr="00594971">
      <w:rPr>
        <w:rStyle w:val="PageNumber"/>
        <w:rFonts w:ascii="Arial" w:hAnsi="Arial" w:cs="Arial"/>
        <w:sz w:val="20"/>
        <w:szCs w:val="20"/>
      </w:rPr>
      <w:instrText xml:space="preserve">PAGE  </w:instrText>
    </w:r>
    <w:r w:rsidRPr="00594971">
      <w:rPr>
        <w:rStyle w:val="PageNumber"/>
        <w:rFonts w:ascii="Arial" w:hAnsi="Arial" w:cs="Arial"/>
        <w:sz w:val="20"/>
        <w:szCs w:val="20"/>
      </w:rPr>
      <w:fldChar w:fldCharType="separate"/>
    </w:r>
    <w:r w:rsidR="00883EB1">
      <w:rPr>
        <w:rStyle w:val="PageNumber"/>
        <w:rFonts w:ascii="Arial" w:hAnsi="Arial" w:cs="Arial"/>
        <w:noProof/>
        <w:sz w:val="20"/>
        <w:szCs w:val="20"/>
      </w:rPr>
      <w:t>5</w:t>
    </w:r>
    <w:r w:rsidRPr="00594971">
      <w:rPr>
        <w:rStyle w:val="PageNumber"/>
        <w:rFonts w:ascii="Arial" w:hAnsi="Arial" w:cs="Arial"/>
        <w:sz w:val="20"/>
        <w:szCs w:val="20"/>
      </w:rPr>
      <w:fldChar w:fldCharType="end"/>
    </w:r>
  </w:p>
  <w:p w14:paraId="520BB1AF" w14:textId="073E4570" w:rsidR="00A57EC7" w:rsidRPr="00594971" w:rsidRDefault="00A57EC7">
    <w:pPr>
      <w:pStyle w:val="Footer"/>
      <w:rPr>
        <w:rFonts w:ascii="Arial" w:hAnsi="Arial" w:cs="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D41A" w14:textId="77777777" w:rsidR="002B68FB" w:rsidRDefault="002B68FB" w:rsidP="002468C0">
      <w:r>
        <w:separator/>
      </w:r>
    </w:p>
  </w:footnote>
  <w:footnote w:type="continuationSeparator" w:id="0">
    <w:p w14:paraId="7A4403EC" w14:textId="77777777" w:rsidR="002B68FB" w:rsidRDefault="002B68FB" w:rsidP="00246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AB80" w14:textId="77777777" w:rsidR="005018BF" w:rsidRDefault="00000000">
    <w:pPr>
      <w:pStyle w:val="Header"/>
    </w:pPr>
    <w:sdt>
      <w:sdtPr>
        <w:id w:val="171999623"/>
        <w:placeholder>
          <w:docPart w:val="AC7383DAF621D240A9540414BDACEE44"/>
        </w:placeholder>
        <w:temporary/>
        <w:showingPlcHdr/>
      </w:sdtPr>
      <w:sdtContent>
        <w:r w:rsidR="005018BF">
          <w:t>[Type text]</w:t>
        </w:r>
      </w:sdtContent>
    </w:sdt>
    <w:r w:rsidR="005018BF">
      <w:ptab w:relativeTo="margin" w:alignment="center" w:leader="none"/>
    </w:r>
    <w:sdt>
      <w:sdtPr>
        <w:id w:val="171999624"/>
        <w:placeholder>
          <w:docPart w:val="F4FD90FEDF3982448F98E313894D0644"/>
        </w:placeholder>
        <w:temporary/>
        <w:showingPlcHdr/>
      </w:sdtPr>
      <w:sdtContent>
        <w:r w:rsidR="005018BF">
          <w:t>[Type text]</w:t>
        </w:r>
      </w:sdtContent>
    </w:sdt>
    <w:r w:rsidR="005018BF">
      <w:ptab w:relativeTo="margin" w:alignment="right" w:leader="none"/>
    </w:r>
    <w:sdt>
      <w:sdtPr>
        <w:id w:val="171999625"/>
        <w:placeholder>
          <w:docPart w:val="AC19CB8D11A13A4FB51F585414912C2D"/>
        </w:placeholder>
        <w:temporary/>
        <w:showingPlcHdr/>
      </w:sdtPr>
      <w:sdtContent>
        <w:r w:rsidR="005018BF">
          <w:t>[Type text]</w:t>
        </w:r>
      </w:sdtContent>
    </w:sdt>
  </w:p>
  <w:p w14:paraId="77A67A8A" w14:textId="77777777" w:rsidR="005018BF" w:rsidRDefault="00501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jc w:val="center"/>
      <w:tblLook w:val="04A0" w:firstRow="1" w:lastRow="0" w:firstColumn="1" w:lastColumn="0" w:noHBand="0" w:noVBand="1"/>
    </w:tblPr>
    <w:tblGrid>
      <w:gridCol w:w="5563"/>
      <w:gridCol w:w="5538"/>
    </w:tblGrid>
    <w:tr w:rsidR="005018BF" w:rsidRPr="00E4755F" w14:paraId="6CA7A445" w14:textId="77777777" w:rsidTr="00333703">
      <w:trPr>
        <w:jc w:val="center"/>
      </w:trPr>
      <w:tc>
        <w:tcPr>
          <w:tcW w:w="5563" w:type="dxa"/>
          <w:shd w:val="clear" w:color="auto" w:fill="auto"/>
        </w:tcPr>
        <w:p w14:paraId="647AA944" w14:textId="21A3B203" w:rsidR="005018BF" w:rsidRPr="00E4755F" w:rsidRDefault="005018BF" w:rsidP="00333703">
          <w:pPr>
            <w:tabs>
              <w:tab w:val="left" w:pos="4500"/>
            </w:tabs>
            <w:rPr>
              <w:rFonts w:ascii="Calibri" w:eastAsia="Calibri" w:hAnsi="Calibri" w:cs="Times New Roman"/>
              <w:lang w:eastAsia="en-GB"/>
            </w:rPr>
          </w:pPr>
          <w:r w:rsidRPr="00E4755F">
            <w:rPr>
              <w:rFonts w:ascii="Calibri" w:eastAsia="Calibri" w:hAnsi="Calibri" w:cs="Times New Roman"/>
              <w:noProof/>
              <w:lang w:eastAsia="zh-CN"/>
            </w:rPr>
            <w:tab/>
          </w:r>
        </w:p>
      </w:tc>
      <w:tc>
        <w:tcPr>
          <w:tcW w:w="5538" w:type="dxa"/>
          <w:shd w:val="clear" w:color="auto" w:fill="auto"/>
          <w:vAlign w:val="center"/>
        </w:tcPr>
        <w:p w14:paraId="50BC8E30" w14:textId="794C64FE" w:rsidR="005018BF" w:rsidRPr="00E4755F" w:rsidRDefault="005018BF" w:rsidP="00333703">
          <w:pPr>
            <w:tabs>
              <w:tab w:val="center" w:pos="4680"/>
              <w:tab w:val="right" w:pos="9360"/>
            </w:tabs>
            <w:jc w:val="right"/>
            <w:rPr>
              <w:rFonts w:ascii="Adobe Garamond Pro Bold" w:eastAsia="Calibri" w:hAnsi="Adobe Garamond Pro Bold" w:cs="Times New Roman"/>
              <w:i/>
              <w:sz w:val="28"/>
              <w:szCs w:val="28"/>
              <w:lang w:eastAsia="en-GB"/>
            </w:rPr>
          </w:pPr>
        </w:p>
      </w:tc>
    </w:tr>
  </w:tbl>
  <w:p w14:paraId="0FEF3D2F" w14:textId="77777777" w:rsidR="005018BF" w:rsidRDefault="00501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D13FC"/>
    <w:multiLevelType w:val="hybridMultilevel"/>
    <w:tmpl w:val="E014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B3A0F"/>
    <w:multiLevelType w:val="multilevel"/>
    <w:tmpl w:val="456CCB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A734924"/>
    <w:multiLevelType w:val="multilevel"/>
    <w:tmpl w:val="7408FBF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 w15:restartNumberingAfterBreak="0">
    <w:nsid w:val="6B944D60"/>
    <w:multiLevelType w:val="hybridMultilevel"/>
    <w:tmpl w:val="4164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B7DAA"/>
    <w:multiLevelType w:val="multilevel"/>
    <w:tmpl w:val="4D0AFF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339622294">
    <w:abstractNumId w:val="0"/>
  </w:num>
  <w:num w:numId="2" w16cid:durableId="1862888854">
    <w:abstractNumId w:val="3"/>
  </w:num>
  <w:num w:numId="3" w16cid:durableId="284652930">
    <w:abstractNumId w:val="1"/>
  </w:num>
  <w:num w:numId="4" w16cid:durableId="13310242">
    <w:abstractNumId w:val="2"/>
  </w:num>
  <w:num w:numId="5" w16cid:durableId="936058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C0"/>
    <w:rsid w:val="00024E30"/>
    <w:rsid w:val="00044964"/>
    <w:rsid w:val="000B1C66"/>
    <w:rsid w:val="000B599D"/>
    <w:rsid w:val="00142B17"/>
    <w:rsid w:val="00145F8D"/>
    <w:rsid w:val="001A5527"/>
    <w:rsid w:val="001D3E35"/>
    <w:rsid w:val="00201BED"/>
    <w:rsid w:val="0024157B"/>
    <w:rsid w:val="002468C0"/>
    <w:rsid w:val="00251D01"/>
    <w:rsid w:val="002B68FB"/>
    <w:rsid w:val="002D7C73"/>
    <w:rsid w:val="003017CE"/>
    <w:rsid w:val="003C30AE"/>
    <w:rsid w:val="00437973"/>
    <w:rsid w:val="004E2A4C"/>
    <w:rsid w:val="005018BF"/>
    <w:rsid w:val="005273AE"/>
    <w:rsid w:val="00540851"/>
    <w:rsid w:val="005657EE"/>
    <w:rsid w:val="00573417"/>
    <w:rsid w:val="00594971"/>
    <w:rsid w:val="005A7625"/>
    <w:rsid w:val="00723F87"/>
    <w:rsid w:val="00774D8F"/>
    <w:rsid w:val="008636CF"/>
    <w:rsid w:val="00864439"/>
    <w:rsid w:val="00883EB1"/>
    <w:rsid w:val="0089428F"/>
    <w:rsid w:val="008A1317"/>
    <w:rsid w:val="009102BA"/>
    <w:rsid w:val="0097459E"/>
    <w:rsid w:val="009B06A6"/>
    <w:rsid w:val="009E01C3"/>
    <w:rsid w:val="009F7DAB"/>
    <w:rsid w:val="00A44169"/>
    <w:rsid w:val="00A57EC7"/>
    <w:rsid w:val="00CA6E83"/>
    <w:rsid w:val="00CC136B"/>
    <w:rsid w:val="00CC5979"/>
    <w:rsid w:val="00CE3286"/>
    <w:rsid w:val="00D51172"/>
    <w:rsid w:val="00D92E41"/>
    <w:rsid w:val="00DD16A3"/>
    <w:rsid w:val="00EF13BF"/>
    <w:rsid w:val="00EF4A5A"/>
    <w:rsid w:val="00F16A12"/>
    <w:rsid w:val="00F3014F"/>
    <w:rsid w:val="00F34AB0"/>
    <w:rsid w:val="00FD7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3EA733"/>
  <w14:defaultImageDpi w14:val="300"/>
  <w15:docId w15:val="{C2CB2684-1088-4445-B083-C935DBB7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68C0"/>
    <w:pPr>
      <w:tabs>
        <w:tab w:val="center" w:pos="4320"/>
        <w:tab w:val="right" w:pos="8640"/>
      </w:tabs>
    </w:pPr>
  </w:style>
  <w:style w:type="character" w:customStyle="1" w:styleId="FooterChar">
    <w:name w:val="Footer Char"/>
    <w:basedOn w:val="DefaultParagraphFont"/>
    <w:link w:val="Footer"/>
    <w:uiPriority w:val="99"/>
    <w:rsid w:val="002468C0"/>
  </w:style>
  <w:style w:type="character" w:styleId="PageNumber">
    <w:name w:val="page number"/>
    <w:basedOn w:val="DefaultParagraphFont"/>
    <w:uiPriority w:val="99"/>
    <w:semiHidden/>
    <w:unhideWhenUsed/>
    <w:rsid w:val="002468C0"/>
  </w:style>
  <w:style w:type="paragraph" w:styleId="ListParagraph">
    <w:name w:val="List Paragraph"/>
    <w:basedOn w:val="Normal"/>
    <w:uiPriority w:val="34"/>
    <w:qFormat/>
    <w:rsid w:val="00251D01"/>
    <w:pPr>
      <w:ind w:left="720"/>
      <w:contextualSpacing/>
    </w:pPr>
  </w:style>
  <w:style w:type="paragraph" w:styleId="Header">
    <w:name w:val="header"/>
    <w:basedOn w:val="Normal"/>
    <w:link w:val="HeaderChar"/>
    <w:uiPriority w:val="99"/>
    <w:unhideWhenUsed/>
    <w:rsid w:val="005018BF"/>
    <w:pPr>
      <w:tabs>
        <w:tab w:val="center" w:pos="4320"/>
        <w:tab w:val="right" w:pos="8640"/>
      </w:tabs>
    </w:pPr>
  </w:style>
  <w:style w:type="character" w:customStyle="1" w:styleId="HeaderChar">
    <w:name w:val="Header Char"/>
    <w:basedOn w:val="DefaultParagraphFont"/>
    <w:link w:val="Header"/>
    <w:uiPriority w:val="99"/>
    <w:rsid w:val="005018BF"/>
  </w:style>
  <w:style w:type="paragraph" w:styleId="BalloonText">
    <w:name w:val="Balloon Text"/>
    <w:basedOn w:val="Normal"/>
    <w:link w:val="BalloonTextChar"/>
    <w:uiPriority w:val="99"/>
    <w:semiHidden/>
    <w:unhideWhenUsed/>
    <w:rsid w:val="005018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18B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7383DAF621D240A9540414BDACEE44"/>
        <w:category>
          <w:name w:val="General"/>
          <w:gallery w:val="placeholder"/>
        </w:category>
        <w:types>
          <w:type w:val="bbPlcHdr"/>
        </w:types>
        <w:behaviors>
          <w:behavior w:val="content"/>
        </w:behaviors>
        <w:guid w:val="{B77E03BB-27F8-7543-BAC0-8C67575D2FAE}"/>
      </w:docPartPr>
      <w:docPartBody>
        <w:p w:rsidR="00A739B8" w:rsidRDefault="00C43B82" w:rsidP="00C43B82">
          <w:pPr>
            <w:pStyle w:val="AC7383DAF621D240A9540414BDACEE44"/>
          </w:pPr>
          <w:r>
            <w:t>[Type text]</w:t>
          </w:r>
        </w:p>
      </w:docPartBody>
    </w:docPart>
    <w:docPart>
      <w:docPartPr>
        <w:name w:val="F4FD90FEDF3982448F98E313894D0644"/>
        <w:category>
          <w:name w:val="General"/>
          <w:gallery w:val="placeholder"/>
        </w:category>
        <w:types>
          <w:type w:val="bbPlcHdr"/>
        </w:types>
        <w:behaviors>
          <w:behavior w:val="content"/>
        </w:behaviors>
        <w:guid w:val="{2CBD41B8-3672-7942-8D6B-E93C1AD2D0F9}"/>
      </w:docPartPr>
      <w:docPartBody>
        <w:p w:rsidR="00A739B8" w:rsidRDefault="00C43B82" w:rsidP="00C43B82">
          <w:pPr>
            <w:pStyle w:val="F4FD90FEDF3982448F98E313894D0644"/>
          </w:pPr>
          <w:r>
            <w:t>[Type text]</w:t>
          </w:r>
        </w:p>
      </w:docPartBody>
    </w:docPart>
    <w:docPart>
      <w:docPartPr>
        <w:name w:val="AC19CB8D11A13A4FB51F585414912C2D"/>
        <w:category>
          <w:name w:val="General"/>
          <w:gallery w:val="placeholder"/>
        </w:category>
        <w:types>
          <w:type w:val="bbPlcHdr"/>
        </w:types>
        <w:behaviors>
          <w:behavior w:val="content"/>
        </w:behaviors>
        <w:guid w:val="{6A3EA1AB-60D6-FC46-B79C-7FD33E969A6E}"/>
      </w:docPartPr>
      <w:docPartBody>
        <w:p w:rsidR="00A739B8" w:rsidRDefault="00C43B82" w:rsidP="00C43B82">
          <w:pPr>
            <w:pStyle w:val="AC19CB8D11A13A4FB51F585414912C2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Hind">
    <w:panose1 w:val="020000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dobe Garamond Pro Bold">
    <w:altName w:val="Cambria"/>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B82"/>
    <w:rsid w:val="00185959"/>
    <w:rsid w:val="002F1AAF"/>
    <w:rsid w:val="00620161"/>
    <w:rsid w:val="00627E78"/>
    <w:rsid w:val="00A739B8"/>
    <w:rsid w:val="00A8779C"/>
    <w:rsid w:val="00C02317"/>
    <w:rsid w:val="00C43B82"/>
    <w:rsid w:val="00D6704B"/>
    <w:rsid w:val="00E079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7383DAF621D240A9540414BDACEE44">
    <w:name w:val="AC7383DAF621D240A9540414BDACEE44"/>
    <w:rsid w:val="00C43B82"/>
  </w:style>
  <w:style w:type="paragraph" w:customStyle="1" w:styleId="F4FD90FEDF3982448F98E313894D0644">
    <w:name w:val="F4FD90FEDF3982448F98E313894D0644"/>
    <w:rsid w:val="00C43B82"/>
  </w:style>
  <w:style w:type="paragraph" w:customStyle="1" w:styleId="AC19CB8D11A13A4FB51F585414912C2D">
    <w:name w:val="AC19CB8D11A13A4FB51F585414912C2D"/>
    <w:rsid w:val="00C43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8A44A-B00B-1E4C-A43F-FAC095C5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980</Words>
  <Characters>4489</Characters>
  <Application>Microsoft Office Word</Application>
  <DocSecurity>0</DocSecurity>
  <Lines>106</Lines>
  <Paragraphs>63</Paragraphs>
  <ScaleCrop>false</ScaleCrop>
  <Company>donpen education consulting ltd</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pennington</dc:creator>
  <cp:keywords/>
  <dc:description/>
  <cp:lastModifiedBy>ACMET UK</cp:lastModifiedBy>
  <cp:revision>8</cp:revision>
  <dcterms:created xsi:type="dcterms:W3CDTF">2024-04-09T20:18:00Z</dcterms:created>
  <dcterms:modified xsi:type="dcterms:W3CDTF">2024-04-12T09:59:00Z</dcterms:modified>
</cp:coreProperties>
</file>