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C153" w14:textId="58D83990" w:rsidR="006411B0" w:rsidRPr="002B0D60" w:rsidRDefault="006411B0">
      <w:pPr>
        <w:pStyle w:val="BodyText"/>
        <w:rPr>
          <w:rFonts w:ascii="Palatino Linotype" w:hAnsi="Palatino Linotype"/>
          <w:sz w:val="24"/>
          <w:szCs w:val="24"/>
        </w:rPr>
      </w:pPr>
    </w:p>
    <w:p w14:paraId="36D58DA8" w14:textId="767572DC" w:rsidR="006411B0" w:rsidRPr="002B0D60" w:rsidRDefault="006C5DF3">
      <w:pPr>
        <w:pStyle w:val="BodyText"/>
        <w:spacing w:before="7"/>
        <w:rPr>
          <w:rFonts w:ascii="Palatino Linotype" w:hAnsi="Palatino Linotype"/>
          <w:sz w:val="24"/>
          <w:szCs w:val="24"/>
        </w:rPr>
      </w:pPr>
      <w:r w:rsidRPr="002B0D60">
        <w:rPr>
          <w:rFonts w:ascii="Palatino Linotype" w:eastAsia="Palatino Linotype" w:hAnsi="Palatino Linotype"/>
          <w:b/>
          <w:i/>
          <w:iCs/>
          <w:noProof/>
          <w:color w:val="000000"/>
          <w:sz w:val="24"/>
          <w:szCs w:val="24"/>
        </w:rPr>
        <w:drawing>
          <wp:inline distT="0" distB="0" distL="0" distR="0" wp14:anchorId="12C458E9" wp14:editId="1193A735">
            <wp:extent cx="1059815" cy="1162685"/>
            <wp:effectExtent l="0" t="0" r="0" b="0"/>
            <wp:docPr id="44"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9815" cy="1162685"/>
                    </a:xfrm>
                    <a:prstGeom prst="rect">
                      <a:avLst/>
                    </a:prstGeom>
                    <a:noFill/>
                    <a:ln>
                      <a:noFill/>
                    </a:ln>
                  </pic:spPr>
                </pic:pic>
              </a:graphicData>
            </a:graphic>
          </wp:inline>
        </w:drawing>
      </w:r>
    </w:p>
    <w:p w14:paraId="08104E73" w14:textId="66F96A27" w:rsidR="00FD09CD" w:rsidRPr="00FD09CD" w:rsidRDefault="00FD09CD" w:rsidP="00FD09CD">
      <w:pPr>
        <w:widowControl/>
        <w:autoSpaceDE/>
        <w:autoSpaceDN/>
        <w:rPr>
          <w:rFonts w:ascii="Palatino Linotype" w:eastAsia="Times New Roman" w:hAnsi="Palatino Linotype" w:cs="Times New Roman"/>
          <w:sz w:val="24"/>
          <w:szCs w:val="24"/>
          <w:lang w:val="en-GB" w:eastAsia="en-GB"/>
        </w:rPr>
      </w:pPr>
    </w:p>
    <w:p w14:paraId="794EE3B3" w14:textId="7B2A1F5A" w:rsidR="00FD09CD" w:rsidRPr="00FD09CD" w:rsidRDefault="00FD09CD" w:rsidP="00FD09CD">
      <w:pPr>
        <w:widowControl/>
        <w:autoSpaceDE/>
        <w:autoSpaceDN/>
        <w:spacing w:before="100" w:beforeAutospacing="1" w:after="100" w:afterAutospacing="1"/>
        <w:jc w:val="center"/>
        <w:rPr>
          <w:rFonts w:ascii="Palatino Linotype" w:eastAsia="Times New Roman" w:hAnsi="Palatino Linotype" w:cs="Times New Roman"/>
          <w:sz w:val="24"/>
          <w:szCs w:val="24"/>
          <w:lang w:val="en-GB" w:eastAsia="en-GB"/>
        </w:rPr>
      </w:pPr>
      <w:r w:rsidRPr="002B0D60">
        <w:rPr>
          <w:rFonts w:ascii="Palatino Linotype" w:eastAsia="Times New Roman" w:hAnsi="Palatino Linotype" w:cs="Arial"/>
          <w:b/>
          <w:bCs/>
          <w:sz w:val="24"/>
          <w:szCs w:val="24"/>
          <w:lang w:val="en-GB" w:eastAsia="en-GB"/>
        </w:rPr>
        <w:t>ACMET LONDON COLLEGE</w:t>
      </w:r>
      <w:r w:rsidRPr="00FD09CD">
        <w:rPr>
          <w:rFonts w:ascii="Palatino Linotype" w:eastAsia="Times New Roman" w:hAnsi="Palatino Linotype" w:cs="Arial"/>
          <w:b/>
          <w:bCs/>
          <w:sz w:val="24"/>
          <w:szCs w:val="24"/>
          <w:lang w:val="en-GB" w:eastAsia="en-GB"/>
        </w:rPr>
        <w:br/>
        <w:t>Tuition Fee Refund and Compensation Policy</w:t>
      </w:r>
    </w:p>
    <w:p w14:paraId="24CEB82F" w14:textId="297CAD41" w:rsidR="009A7B06" w:rsidRPr="009A7B06" w:rsidRDefault="00FD09CD" w:rsidP="009A7B06">
      <w:pPr>
        <w:pStyle w:val="ListParagraph"/>
        <w:widowControl/>
        <w:numPr>
          <w:ilvl w:val="0"/>
          <w:numId w:val="1"/>
        </w:numPr>
        <w:autoSpaceDE/>
        <w:autoSpaceDN/>
        <w:spacing w:before="100" w:beforeAutospacing="1" w:after="100" w:afterAutospacing="1"/>
        <w:rPr>
          <w:rFonts w:ascii="Palatino Linotype" w:eastAsia="Times New Roman" w:hAnsi="Palatino Linotype" w:cs="Arial"/>
          <w:i/>
          <w:iCs/>
          <w:sz w:val="24"/>
          <w:szCs w:val="24"/>
          <w:lang w:val="en-GB" w:eastAsia="en-GB"/>
        </w:rPr>
      </w:pPr>
      <w:r w:rsidRPr="009A7B06">
        <w:rPr>
          <w:rFonts w:ascii="Palatino Linotype" w:eastAsia="Times New Roman" w:hAnsi="Palatino Linotype" w:cs="Arial"/>
          <w:b/>
          <w:bCs/>
          <w:sz w:val="24"/>
          <w:szCs w:val="24"/>
          <w:lang w:val="en-GB" w:eastAsia="en-GB"/>
        </w:rPr>
        <w:t>Purpose</w:t>
      </w:r>
    </w:p>
    <w:p w14:paraId="0B2B3614" w14:textId="6A71A4DE" w:rsidR="00FD09CD" w:rsidRPr="009A7B06" w:rsidRDefault="00FD09CD" w:rsidP="009A7B06">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9A7B06">
        <w:rPr>
          <w:rFonts w:ascii="Palatino Linotype" w:eastAsia="Times New Roman" w:hAnsi="Palatino Linotype" w:cs="Arial"/>
          <w:i/>
          <w:iCs/>
          <w:sz w:val="24"/>
          <w:szCs w:val="24"/>
          <w:lang w:val="en-GB" w:eastAsia="en-GB"/>
        </w:rPr>
        <w:br/>
      </w:r>
      <w:r w:rsidRPr="009A7B06">
        <w:rPr>
          <w:rFonts w:ascii="Palatino Linotype" w:eastAsia="Times New Roman" w:hAnsi="Palatino Linotype" w:cs="Times New Roman"/>
          <w:sz w:val="24"/>
          <w:szCs w:val="24"/>
          <w:lang w:val="en-GB" w:eastAsia="en-GB"/>
        </w:rPr>
        <w:t xml:space="preserve">1.1 The purpose of this Tuition Fee Refund and Compensation Policy is to provide guidance on when </w:t>
      </w:r>
      <w:proofErr w:type="spellStart"/>
      <w:r w:rsidRPr="009A7B06">
        <w:rPr>
          <w:rFonts w:ascii="Palatino Linotype" w:eastAsia="Times New Roman" w:hAnsi="Palatino Linotype" w:cs="Times New Roman"/>
          <w:sz w:val="24"/>
          <w:szCs w:val="24"/>
          <w:lang w:val="en-GB" w:eastAsia="en-GB"/>
        </w:rPr>
        <w:t>Acmet</w:t>
      </w:r>
      <w:proofErr w:type="spellEnd"/>
      <w:r w:rsidRPr="009A7B06">
        <w:rPr>
          <w:rFonts w:ascii="Palatino Linotype" w:eastAsia="Times New Roman" w:hAnsi="Palatino Linotype" w:cs="Times New Roman"/>
          <w:sz w:val="24"/>
          <w:szCs w:val="24"/>
          <w:lang w:val="en-GB" w:eastAsia="en-GB"/>
        </w:rPr>
        <w:t xml:space="preserve"> London College may make refunds of tuition fees and consider making compensation to students. </w:t>
      </w:r>
    </w:p>
    <w:p w14:paraId="13C64A9A"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2. </w:t>
      </w:r>
      <w:r w:rsidRPr="00FD09CD">
        <w:rPr>
          <w:rFonts w:ascii="Palatino Linotype" w:eastAsia="Times New Roman" w:hAnsi="Palatino Linotype" w:cs="Arial"/>
          <w:b/>
          <w:bCs/>
          <w:sz w:val="24"/>
          <w:szCs w:val="24"/>
          <w:lang w:val="en-GB" w:eastAsia="en-GB"/>
        </w:rPr>
        <w:t xml:space="preserve">Policy Statement </w:t>
      </w:r>
    </w:p>
    <w:p w14:paraId="3928A54D" w14:textId="5CF22844"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2.1 Refunds to student tuition fees will only be made to the original source. Where the tuition fee is paid by Student Loan Company (SLC)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will make refund to the SLC. Where the tuition fee is paid directly by the student a refund will be made to the country and the student account from which the money was paid to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Where the tuition fee is paid by an external sponsor a refund will be made to that sponsor. </w:t>
      </w:r>
    </w:p>
    <w:p w14:paraId="675A4D04" w14:textId="238EBC9D"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2.2 Compensation to students will only be considered in circumstances where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has been unable to deliver a learning experience service to students, as stated in the Student Handbook, or has accommodation issues such as having to move premises. In either circumstances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will seek to </w:t>
      </w:r>
      <w:proofErr w:type="gramStart"/>
      <w:r w:rsidRPr="00FD09CD">
        <w:rPr>
          <w:rFonts w:ascii="Palatino Linotype" w:eastAsia="Times New Roman" w:hAnsi="Palatino Linotype" w:cs="Times New Roman"/>
          <w:sz w:val="24"/>
          <w:szCs w:val="24"/>
          <w:lang w:val="en-GB" w:eastAsia="en-GB"/>
        </w:rPr>
        <w:t>make arrangements</w:t>
      </w:r>
      <w:proofErr w:type="gramEnd"/>
      <w:r w:rsidRPr="00FD09CD">
        <w:rPr>
          <w:rFonts w:ascii="Palatino Linotype" w:eastAsia="Times New Roman" w:hAnsi="Palatino Linotype" w:cs="Times New Roman"/>
          <w:sz w:val="24"/>
          <w:szCs w:val="24"/>
          <w:lang w:val="en-GB" w:eastAsia="en-GB"/>
        </w:rPr>
        <w:t xml:space="preserve"> to ensure the student learning experience is maintained. </w:t>
      </w:r>
    </w:p>
    <w:p w14:paraId="0E498EB0" w14:textId="1A01B58F"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2.3 This Tuition Fee Refund and Compensation Policy should be read in conjunction with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College’s Terms and Conditions </w:t>
      </w:r>
    </w:p>
    <w:p w14:paraId="36F3AF8F"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Arial"/>
          <w:b/>
          <w:bCs/>
          <w:sz w:val="24"/>
          <w:szCs w:val="24"/>
          <w:lang w:val="en-GB" w:eastAsia="en-GB"/>
        </w:rPr>
        <w:t xml:space="preserve">3. Tuition Fee Refunds </w:t>
      </w:r>
    </w:p>
    <w:p w14:paraId="3DA2CE93" w14:textId="24AD4A7E"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3.1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will only consider claims for refunds of tuition fees under the following circumstances: </w:t>
      </w:r>
    </w:p>
    <w:p w14:paraId="29DBBE23" w14:textId="1B0D7981"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(a) Where a student withdraws from his or her course of study</w:t>
      </w:r>
      <w:r w:rsidRPr="00FD09CD">
        <w:rPr>
          <w:rFonts w:ascii="Palatino Linotype" w:eastAsia="Times New Roman" w:hAnsi="Palatino Linotype" w:cs="Times New Roman"/>
          <w:sz w:val="24"/>
          <w:szCs w:val="24"/>
          <w:lang w:val="en-GB" w:eastAsia="en-GB"/>
        </w:rPr>
        <w:br/>
        <w:t xml:space="preserve">(b) Where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decides to terminate the student’s course of study. </w:t>
      </w:r>
    </w:p>
    <w:p w14:paraId="6E1A0B4B"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3.2 Refunds request must be submitted in writing by email to </w:t>
      </w:r>
    </w:p>
    <w:p w14:paraId="7830407E" w14:textId="58D0F6BE"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color w:val="0000FF"/>
          <w:sz w:val="24"/>
          <w:szCs w:val="24"/>
          <w:lang w:val="en-GB" w:eastAsia="en-GB"/>
        </w:rPr>
        <w:t>info@</w:t>
      </w:r>
      <w:r w:rsidRPr="002B0D60">
        <w:rPr>
          <w:rFonts w:ascii="Palatino Linotype" w:eastAsia="Times New Roman" w:hAnsi="Palatino Linotype" w:cs="Times New Roman"/>
          <w:color w:val="0000FF"/>
          <w:sz w:val="24"/>
          <w:szCs w:val="24"/>
          <w:lang w:val="en-GB" w:eastAsia="en-GB"/>
        </w:rPr>
        <w:t>acmet.co.uk</w:t>
      </w:r>
      <w:r w:rsidRPr="00FD09CD">
        <w:rPr>
          <w:rFonts w:ascii="Palatino Linotype" w:eastAsia="Times New Roman" w:hAnsi="Palatino Linotype" w:cs="Times New Roman"/>
          <w:color w:val="0000FF"/>
          <w:sz w:val="24"/>
          <w:szCs w:val="24"/>
          <w:lang w:val="en-GB" w:eastAsia="en-GB"/>
        </w:rPr>
        <w:t xml:space="preserve"> </w:t>
      </w:r>
    </w:p>
    <w:p w14:paraId="0F6AF58D" w14:textId="6396CEE8"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3.3 Student Loan Company</w:t>
      </w:r>
    </w:p>
    <w:p w14:paraId="155AEDC1"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(a) Where the student has been formally liable for tuition fees from the start date of their course of study. </w:t>
      </w:r>
    </w:p>
    <w:p w14:paraId="5C5FBC2F"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(b) Once a term/semester has started, the student is liable for the full fee for the term regardless of whether the student withdraws or interrupts his/her course of study during the term/semester </w:t>
      </w:r>
    </w:p>
    <w:p w14:paraId="5FC34451"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lastRenderedPageBreak/>
        <w:t>(c) Where a student agrees to take a tuition fee loan, but then changes his</w:t>
      </w:r>
      <w:r w:rsidRPr="00FD09CD">
        <w:rPr>
          <w:rFonts w:ascii="Palatino Linotype" w:eastAsia="Times New Roman" w:hAnsi="Palatino Linotype" w:cs="Times New Roman"/>
          <w:sz w:val="24"/>
          <w:szCs w:val="24"/>
          <w:lang w:val="en-GB" w:eastAsia="en-GB"/>
        </w:rPr>
        <w:br/>
        <w:t>or her mind, the student will be responsible for paying back to the SLC the full amount of the loan up to the latest point of liability (normally first day of</w:t>
      </w:r>
      <w:r w:rsidRPr="00FD09CD">
        <w:rPr>
          <w:rFonts w:ascii="Palatino Linotype" w:eastAsia="Times New Roman" w:hAnsi="Palatino Linotype" w:cs="Times New Roman"/>
          <w:sz w:val="24"/>
          <w:szCs w:val="24"/>
          <w:lang w:val="en-GB" w:eastAsia="en-GB"/>
        </w:rPr>
        <w:br/>
        <w:t xml:space="preserve">each term/semester) </w:t>
      </w:r>
    </w:p>
    <w:p w14:paraId="6120D12F"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(d) Where the student withdraws or interrupts his or her studies after the start date of a term in any one academic year, the tuition fee will be due for repayment irrespective of the date of withdrawal/interruption. This is detailed in the table below.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43"/>
        <w:gridCol w:w="4324"/>
        <w:gridCol w:w="3293"/>
      </w:tblGrid>
      <w:tr w:rsidR="00FD09CD" w:rsidRPr="00FD09CD" w14:paraId="457DC668" w14:textId="77777777" w:rsidTr="00FD09CD">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4305D848"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Date of withdrawal or interrupt of studies </w:t>
            </w:r>
          </w:p>
        </w:tc>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524724B0"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Percentage of Annual Tuition Fees Due from SLC </w:t>
            </w:r>
          </w:p>
        </w:tc>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E57484F"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Percentage of Annual tuition fee due </w:t>
            </w:r>
          </w:p>
        </w:tc>
      </w:tr>
      <w:tr w:rsidR="00FD09CD" w:rsidRPr="00FD09CD" w14:paraId="00660612" w14:textId="77777777" w:rsidTr="00FD09CD">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31571B"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After start date of Term 1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E759AF"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25%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68753A"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33% </w:t>
            </w:r>
          </w:p>
        </w:tc>
      </w:tr>
      <w:tr w:rsidR="00FD09CD" w:rsidRPr="00FD09CD" w14:paraId="49350F4F" w14:textId="77777777" w:rsidTr="00FD09CD">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038567"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After start date of Term 2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21A858"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50%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441DB9"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67% </w:t>
            </w:r>
          </w:p>
        </w:tc>
      </w:tr>
      <w:tr w:rsidR="00FD09CD" w:rsidRPr="00FD09CD" w14:paraId="03AA03EB" w14:textId="77777777" w:rsidTr="00FD09CD">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992005"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After Start date of term 3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6E1CE1"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56E55D"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100% </w:t>
            </w:r>
          </w:p>
        </w:tc>
      </w:tr>
    </w:tbl>
    <w:p w14:paraId="2C650DC3"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3.4 Policy for self-funded students is as follows: </w:t>
      </w:r>
    </w:p>
    <w:p w14:paraId="3BCDBEF1"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(a) Where a student decides to withdraw from the course prior to the course start date any fee deposits made by the student are non-refundable. </w:t>
      </w:r>
    </w:p>
    <w:p w14:paraId="5F22F9DE"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(b) Once a term has started, the student is liable for the full fee of the term. This applies where the student decides to withdraw from the course during the term. </w:t>
      </w:r>
    </w:p>
    <w:p w14:paraId="5BD89D14" w14:textId="1F1DF4C1"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(c) Any tuition fees paid by the student for terms following that in which the student withdraws will be refunded by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to the student. </w:t>
      </w:r>
    </w:p>
    <w:p w14:paraId="200EE388"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3.5 Policy for externally sponsored students is as follows: </w:t>
      </w:r>
    </w:p>
    <w:p w14:paraId="763B9505"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(a) Where a student decides to withdraw from the course prior to the course start date any fee deposits made by the sponsor are non-refundable. </w:t>
      </w:r>
    </w:p>
    <w:p w14:paraId="66D0DEFE" w14:textId="4022B6E8"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proofErr w:type="spellStart"/>
      <w:r w:rsidRPr="002B0D60">
        <w:rPr>
          <w:rFonts w:ascii="Palatino Linotype" w:eastAsia="Times New Roman" w:hAnsi="Palatino Linotype" w:cs="Arial"/>
          <w:i/>
          <w:iCs/>
          <w:sz w:val="24"/>
          <w:szCs w:val="24"/>
          <w:lang w:val="en-GB" w:eastAsia="en-GB"/>
        </w:rPr>
        <w:t>Acmet</w:t>
      </w:r>
      <w:proofErr w:type="spellEnd"/>
      <w:r w:rsidRPr="002B0D60">
        <w:rPr>
          <w:rFonts w:ascii="Palatino Linotype" w:eastAsia="Times New Roman" w:hAnsi="Palatino Linotype" w:cs="Arial"/>
          <w:i/>
          <w:iCs/>
          <w:sz w:val="24"/>
          <w:szCs w:val="24"/>
          <w:lang w:val="en-GB" w:eastAsia="en-GB"/>
        </w:rPr>
        <w:t xml:space="preserve"> London</w:t>
      </w:r>
      <w:r w:rsidRPr="00FD09CD">
        <w:rPr>
          <w:rFonts w:ascii="Palatino Linotype" w:eastAsia="Times New Roman" w:hAnsi="Palatino Linotype" w:cs="Arial"/>
          <w:i/>
          <w:iCs/>
          <w:sz w:val="24"/>
          <w:szCs w:val="24"/>
          <w:lang w:val="en-GB" w:eastAsia="en-GB"/>
        </w:rPr>
        <w:t xml:space="preserve"> College Refund and Compensation Policy </w:t>
      </w:r>
      <w:r w:rsidRPr="00FD09CD">
        <w:rPr>
          <w:rFonts w:ascii="Palatino Linotype" w:eastAsia="Times New Roman" w:hAnsi="Palatino Linotype" w:cs="Arial"/>
          <w:i/>
          <w:iCs/>
          <w:position w:val="-2"/>
          <w:sz w:val="24"/>
          <w:szCs w:val="24"/>
          <w:lang w:val="en-GB" w:eastAsia="en-GB"/>
        </w:rPr>
        <w:t xml:space="preserve">2 </w:t>
      </w:r>
      <w:r w:rsidRPr="00FD09CD">
        <w:rPr>
          <w:rFonts w:ascii="Palatino Linotype" w:eastAsia="Times New Roman" w:hAnsi="Palatino Linotype" w:cs="Arial"/>
          <w:i/>
          <w:iCs/>
          <w:sz w:val="24"/>
          <w:szCs w:val="24"/>
          <w:lang w:val="en-GB" w:eastAsia="en-GB"/>
        </w:rPr>
        <w:t xml:space="preserve">January 2021 Version 3.0 </w:t>
      </w:r>
    </w:p>
    <w:p w14:paraId="7607B1FA"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(b) Once a term has started the sponsor is liable for the full fee of the term. This applies where the student decides to withdraw from the course during the term. </w:t>
      </w:r>
    </w:p>
    <w:p w14:paraId="2043BFC1"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(c) Any fees paid for terms following that in which the student withdraws will be refunded to the sponsor. </w:t>
      </w:r>
    </w:p>
    <w:p w14:paraId="6220135F"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Arial"/>
          <w:b/>
          <w:bCs/>
          <w:sz w:val="24"/>
          <w:szCs w:val="24"/>
          <w:lang w:val="en-GB" w:eastAsia="en-GB"/>
        </w:rPr>
        <w:t xml:space="preserve">4.0 Pearson Registration Fee </w:t>
      </w:r>
    </w:p>
    <w:p w14:paraId="03940F90"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4.1 Payment of the Pearson registration fee by the student or a sponsor is non- refundable. This reflects Pearson’s policy. Should a student or sponsor wish to seek a refund of the registration fee the matter should be taken up by the students directly with Pearson. </w:t>
      </w:r>
    </w:p>
    <w:p w14:paraId="6225B7F0"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Arial"/>
          <w:b/>
          <w:bCs/>
          <w:sz w:val="24"/>
          <w:szCs w:val="24"/>
          <w:lang w:val="en-GB" w:eastAsia="en-GB"/>
        </w:rPr>
        <w:t xml:space="preserve">5.0 Student Bursaries </w:t>
      </w:r>
    </w:p>
    <w:p w14:paraId="5C0E6DF8" w14:textId="42CA6054"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5.1</w:t>
      </w:r>
      <w:r w:rsidRPr="002B0D60">
        <w:rPr>
          <w:rFonts w:ascii="Palatino Linotype" w:eastAsia="Times New Roman" w:hAnsi="Palatino Linotype" w:cs="Times New Roman"/>
          <w:sz w:val="24"/>
          <w:szCs w:val="24"/>
          <w:lang w:val="en-GB" w:eastAsia="en-GB"/>
        </w:rPr>
        <w:t>Acmet London</w:t>
      </w:r>
      <w:r w:rsidR="00B659D2">
        <w:rPr>
          <w:rFonts w:ascii="Palatino Linotype" w:eastAsia="Times New Roman" w:hAnsi="Palatino Linotype" w:cs="Times New Roman"/>
          <w:sz w:val="24"/>
          <w:szCs w:val="24"/>
          <w:lang w:val="en-GB" w:eastAsia="en-GB"/>
        </w:rPr>
        <w:t xml:space="preserve"> </w:t>
      </w:r>
      <w:r w:rsidRPr="00FD09CD">
        <w:rPr>
          <w:rFonts w:ascii="Palatino Linotype" w:eastAsia="Times New Roman" w:hAnsi="Palatino Linotype" w:cs="Times New Roman"/>
          <w:sz w:val="24"/>
          <w:szCs w:val="24"/>
          <w:lang w:val="en-GB" w:eastAsia="en-GB"/>
        </w:rPr>
        <w:t>College</w:t>
      </w:r>
      <w:r w:rsidRPr="002B0D60">
        <w:rPr>
          <w:rFonts w:ascii="Palatino Linotype" w:eastAsia="Times New Roman" w:hAnsi="Palatino Linotype" w:cs="Times New Roman"/>
          <w:sz w:val="24"/>
          <w:szCs w:val="24"/>
          <w:lang w:val="en-GB" w:eastAsia="en-GB"/>
        </w:rPr>
        <w:t xml:space="preserve"> </w:t>
      </w:r>
      <w:r w:rsidRPr="00FD09CD">
        <w:rPr>
          <w:rFonts w:ascii="Palatino Linotype" w:eastAsia="Times New Roman" w:hAnsi="Palatino Linotype" w:cs="Times New Roman"/>
          <w:sz w:val="24"/>
          <w:szCs w:val="24"/>
          <w:lang w:val="en-GB" w:eastAsia="en-GB"/>
        </w:rPr>
        <w:t>will</w:t>
      </w:r>
      <w:r w:rsidRPr="002B0D60">
        <w:rPr>
          <w:rFonts w:ascii="Palatino Linotype" w:eastAsia="Times New Roman" w:hAnsi="Palatino Linotype" w:cs="Times New Roman"/>
          <w:sz w:val="24"/>
          <w:szCs w:val="24"/>
          <w:lang w:val="en-GB" w:eastAsia="en-GB"/>
        </w:rPr>
        <w:t xml:space="preserve"> </w:t>
      </w:r>
      <w:r w:rsidRPr="00FD09CD">
        <w:rPr>
          <w:rFonts w:ascii="Palatino Linotype" w:eastAsia="Times New Roman" w:hAnsi="Palatino Linotype" w:cs="Times New Roman"/>
          <w:sz w:val="24"/>
          <w:szCs w:val="24"/>
          <w:lang w:val="en-GB" w:eastAsia="en-GB"/>
        </w:rPr>
        <w:t>honour</w:t>
      </w:r>
      <w:r w:rsidRPr="002B0D60">
        <w:rPr>
          <w:rFonts w:ascii="Palatino Linotype" w:eastAsia="Times New Roman" w:hAnsi="Palatino Linotype" w:cs="Times New Roman"/>
          <w:sz w:val="24"/>
          <w:szCs w:val="24"/>
          <w:lang w:val="en-GB" w:eastAsia="en-GB"/>
        </w:rPr>
        <w:t xml:space="preserve"> </w:t>
      </w:r>
      <w:r w:rsidRPr="00FD09CD">
        <w:rPr>
          <w:rFonts w:ascii="Palatino Linotype" w:eastAsia="Times New Roman" w:hAnsi="Palatino Linotype" w:cs="Times New Roman"/>
          <w:sz w:val="24"/>
          <w:szCs w:val="24"/>
          <w:lang w:val="en-GB" w:eastAsia="en-GB"/>
        </w:rPr>
        <w:t>any</w:t>
      </w:r>
      <w:r w:rsidRPr="002B0D60">
        <w:rPr>
          <w:rFonts w:ascii="Palatino Linotype" w:eastAsia="Times New Roman" w:hAnsi="Palatino Linotype" w:cs="Times New Roman"/>
          <w:sz w:val="24"/>
          <w:szCs w:val="24"/>
          <w:lang w:val="en-GB" w:eastAsia="en-GB"/>
        </w:rPr>
        <w:t xml:space="preserve"> </w:t>
      </w:r>
      <w:r w:rsidRPr="00FD09CD">
        <w:rPr>
          <w:rFonts w:ascii="Palatino Linotype" w:eastAsia="Times New Roman" w:hAnsi="Palatino Linotype" w:cs="Times New Roman"/>
          <w:sz w:val="24"/>
          <w:szCs w:val="24"/>
          <w:lang w:val="en-GB" w:eastAsia="en-GB"/>
        </w:rPr>
        <w:t>bursary</w:t>
      </w:r>
      <w:r w:rsidRPr="002B0D60">
        <w:rPr>
          <w:rFonts w:ascii="Palatino Linotype" w:eastAsia="Times New Roman" w:hAnsi="Palatino Linotype" w:cs="Times New Roman"/>
          <w:sz w:val="24"/>
          <w:szCs w:val="24"/>
          <w:lang w:val="en-GB" w:eastAsia="en-GB"/>
        </w:rPr>
        <w:t xml:space="preserve"> </w:t>
      </w:r>
      <w:r w:rsidRPr="00FD09CD">
        <w:rPr>
          <w:rFonts w:ascii="Palatino Linotype" w:eastAsia="Times New Roman" w:hAnsi="Palatino Linotype" w:cs="Times New Roman"/>
          <w:sz w:val="24"/>
          <w:szCs w:val="24"/>
          <w:lang w:val="en-GB" w:eastAsia="en-GB"/>
        </w:rPr>
        <w:t>paid</w:t>
      </w:r>
      <w:r w:rsidRPr="002B0D60">
        <w:rPr>
          <w:rFonts w:ascii="Palatino Linotype" w:eastAsia="Times New Roman" w:hAnsi="Palatino Linotype" w:cs="Times New Roman"/>
          <w:sz w:val="24"/>
          <w:szCs w:val="24"/>
          <w:lang w:val="en-GB" w:eastAsia="en-GB"/>
        </w:rPr>
        <w:t xml:space="preserve"> </w:t>
      </w:r>
      <w:r w:rsidRPr="00FD09CD">
        <w:rPr>
          <w:rFonts w:ascii="Palatino Linotype" w:eastAsia="Times New Roman" w:hAnsi="Palatino Linotype" w:cs="Times New Roman"/>
          <w:sz w:val="24"/>
          <w:szCs w:val="24"/>
          <w:lang w:val="en-GB" w:eastAsia="en-GB"/>
        </w:rPr>
        <w:t>to</w:t>
      </w:r>
      <w:r w:rsidRPr="002B0D60">
        <w:rPr>
          <w:rFonts w:ascii="Palatino Linotype" w:eastAsia="Times New Roman" w:hAnsi="Palatino Linotype" w:cs="Times New Roman"/>
          <w:sz w:val="24"/>
          <w:szCs w:val="24"/>
          <w:lang w:val="en-GB" w:eastAsia="en-GB"/>
        </w:rPr>
        <w:t xml:space="preserve"> </w:t>
      </w:r>
      <w:r w:rsidRPr="00FD09CD">
        <w:rPr>
          <w:rFonts w:ascii="Palatino Linotype" w:eastAsia="Times New Roman" w:hAnsi="Palatino Linotype" w:cs="Times New Roman"/>
          <w:sz w:val="24"/>
          <w:szCs w:val="24"/>
          <w:lang w:val="en-GB" w:eastAsia="en-GB"/>
        </w:rPr>
        <w:t>a</w:t>
      </w:r>
      <w:r w:rsidRPr="002B0D60">
        <w:rPr>
          <w:rFonts w:ascii="Palatino Linotype" w:eastAsia="Times New Roman" w:hAnsi="Palatino Linotype" w:cs="Times New Roman"/>
          <w:sz w:val="24"/>
          <w:szCs w:val="24"/>
          <w:lang w:val="en-GB" w:eastAsia="en-GB"/>
        </w:rPr>
        <w:t xml:space="preserve"> </w:t>
      </w:r>
      <w:r w:rsidRPr="00FD09CD">
        <w:rPr>
          <w:rFonts w:ascii="Palatino Linotype" w:eastAsia="Times New Roman" w:hAnsi="Palatino Linotype" w:cs="Times New Roman"/>
          <w:sz w:val="24"/>
          <w:szCs w:val="24"/>
          <w:lang w:val="en-GB" w:eastAsia="en-GB"/>
        </w:rPr>
        <w:t>student should</w:t>
      </w:r>
      <w:r w:rsidR="00B659D2">
        <w:rPr>
          <w:rFonts w:ascii="Palatino Linotype" w:eastAsia="Times New Roman" w:hAnsi="Palatino Linotype" w:cs="Times New Roman"/>
          <w:sz w:val="24"/>
          <w:szCs w:val="24"/>
          <w:lang w:val="en-GB" w:eastAsia="en-GB"/>
        </w:rPr>
        <w:t xml:space="preserve"> </w:t>
      </w:r>
      <w:r w:rsidRPr="00FD09CD">
        <w:rPr>
          <w:rFonts w:ascii="Palatino Linotype" w:eastAsia="Times New Roman" w:hAnsi="Palatino Linotype" w:cs="Times New Roman"/>
          <w:sz w:val="24"/>
          <w:szCs w:val="24"/>
          <w:lang w:val="en-GB" w:eastAsia="en-GB"/>
        </w:rPr>
        <w:t>the</w:t>
      </w:r>
      <w:r w:rsidR="00B659D2">
        <w:rPr>
          <w:rFonts w:ascii="Palatino Linotype" w:eastAsia="Times New Roman" w:hAnsi="Palatino Linotype" w:cs="Times New Roman"/>
          <w:sz w:val="24"/>
          <w:szCs w:val="24"/>
          <w:lang w:val="en-GB" w:eastAsia="en-GB"/>
        </w:rPr>
        <w:t xml:space="preserve"> </w:t>
      </w:r>
      <w:r w:rsidRPr="00FD09CD">
        <w:rPr>
          <w:rFonts w:ascii="Palatino Linotype" w:eastAsia="Times New Roman" w:hAnsi="Palatino Linotype" w:cs="Times New Roman"/>
          <w:sz w:val="24"/>
          <w:szCs w:val="24"/>
          <w:lang w:val="en-GB" w:eastAsia="en-GB"/>
        </w:rPr>
        <w:t xml:space="preserve">student transfer to another institution to complete their programme of study. The bursary will only be honoured should the reason for the transfer to another higher education provider be a result of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Higher Education closing the course or no longer being able to offer the course due to, for example, closure or non-continuation of the College. </w:t>
      </w:r>
    </w:p>
    <w:p w14:paraId="309D9FA2"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Arial"/>
          <w:b/>
          <w:bCs/>
          <w:sz w:val="24"/>
          <w:szCs w:val="24"/>
          <w:lang w:val="en-GB" w:eastAsia="en-GB"/>
        </w:rPr>
        <w:lastRenderedPageBreak/>
        <w:t xml:space="preserve">6.0 Compensation </w:t>
      </w:r>
    </w:p>
    <w:p w14:paraId="2A01C9D8" w14:textId="343CAC1C"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6.1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aims to ensure that the student learning experience, as described in the Student Handbook and detailed in the Pearson BTEC HN Business Specification for First Teaching September </w:t>
      </w:r>
      <w:r w:rsidR="00FE0D86">
        <w:rPr>
          <w:rFonts w:ascii="Palatino Linotype" w:eastAsia="Times New Roman" w:hAnsi="Palatino Linotype" w:cs="Times New Roman"/>
          <w:sz w:val="24"/>
          <w:szCs w:val="24"/>
          <w:lang w:val="en-GB" w:eastAsia="en-GB"/>
        </w:rPr>
        <w:t>2021 (</w:t>
      </w:r>
      <w:r w:rsidR="00FE0D86" w:rsidRPr="00FE0D86">
        <w:rPr>
          <w:rFonts w:ascii="Palatino Linotype" w:eastAsia="Times New Roman" w:hAnsi="Palatino Linotype" w:cs="Times New Roman"/>
          <w:sz w:val="24"/>
          <w:szCs w:val="24"/>
          <w:lang w:val="en-GB" w:eastAsia="en-GB"/>
        </w:rPr>
        <w:t>https://qualifications.pearson.com/content/dam/pdf/BTEC-Higher-Nationals/Business/2021/9781446968406_HNCD_L45_BUSI_RQF.pdf</w:t>
      </w:r>
      <w:r w:rsidRPr="00FD09CD">
        <w:rPr>
          <w:rFonts w:ascii="Palatino Linotype" w:eastAsia="Times New Roman" w:hAnsi="Palatino Linotype" w:cs="Times New Roman"/>
          <w:sz w:val="24"/>
          <w:szCs w:val="24"/>
          <w:lang w:val="en-GB" w:eastAsia="en-GB"/>
        </w:rPr>
        <w:t xml:space="preserve">), is delivered and maintained at all times. On the rare occasion that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there may be a disruption to the normal pattern of teaching and learning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will ensure that no student is disadvantaged and that all teaching and learning is delivered. Where, for example, a lecturer may be absent for a period of two weeks or more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will compensate by providing another teacher or ensuring the teacher provides extra teaching sessions to catch up from the </w:t>
      </w:r>
      <w:proofErr w:type="gramStart"/>
      <w:r w:rsidRPr="00FD09CD">
        <w:rPr>
          <w:rFonts w:ascii="Palatino Linotype" w:eastAsia="Times New Roman" w:hAnsi="Palatino Linotype" w:cs="Times New Roman"/>
          <w:sz w:val="24"/>
          <w:szCs w:val="24"/>
          <w:lang w:val="en-GB" w:eastAsia="en-GB"/>
        </w:rPr>
        <w:t>time period</w:t>
      </w:r>
      <w:proofErr w:type="gramEnd"/>
      <w:r w:rsidRPr="00FD09CD">
        <w:rPr>
          <w:rFonts w:ascii="Palatino Linotype" w:eastAsia="Times New Roman" w:hAnsi="Palatino Linotype" w:cs="Times New Roman"/>
          <w:sz w:val="24"/>
          <w:szCs w:val="24"/>
          <w:lang w:val="en-GB" w:eastAsia="en-GB"/>
        </w:rPr>
        <w:t xml:space="preserve"> absent. In addition,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College’s VLE will be enhanced to provide additional learning support materials. </w:t>
      </w:r>
    </w:p>
    <w:p w14:paraId="21A91B98" w14:textId="369CE723"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6.2 Where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has accommodation issues the same principle of ensuring delivery of teaching and learning according to the Student Handbook will be adhered to. Where the building in which the College’s premises are located is not available for a period, for example due to health and safety reasons,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will either provided extra teaching sessions to catch up or find suitable temporary alternative accommodation should the building remain unavailable for an extended period. </w:t>
      </w:r>
    </w:p>
    <w:p w14:paraId="6F944B91" w14:textId="010341FB"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6.3 Where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moves its location to different premises students will be consulted and account taken of any inconveniences likely to be caused. If students incur additional transport or other bona fide costs associated with attending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in new premises consideration will be given to compensation. The College would pay additional travel costs for a student affected by a change in location. For payment to be made the student would need to produce evidence of the additional travel costs incurred.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would </w:t>
      </w:r>
      <w:proofErr w:type="spellStart"/>
      <w:r w:rsidRPr="00FD09CD">
        <w:rPr>
          <w:rFonts w:ascii="Palatino Linotype" w:eastAsia="Times New Roman" w:hAnsi="Palatino Linotype" w:cs="Times New Roman"/>
          <w:sz w:val="24"/>
          <w:szCs w:val="24"/>
          <w:lang w:val="en-GB" w:eastAsia="en-GB"/>
        </w:rPr>
        <w:t>endeavor</w:t>
      </w:r>
      <w:proofErr w:type="spellEnd"/>
      <w:r w:rsidRPr="00FD09CD">
        <w:rPr>
          <w:rFonts w:ascii="Palatino Linotype" w:eastAsia="Times New Roman" w:hAnsi="Palatino Linotype" w:cs="Times New Roman"/>
          <w:sz w:val="24"/>
          <w:szCs w:val="24"/>
          <w:lang w:val="en-GB" w:eastAsia="en-GB"/>
        </w:rPr>
        <w:t xml:space="preserve"> to ensure that any change in premises would not adversely affect its student body. </w:t>
      </w:r>
    </w:p>
    <w:p w14:paraId="45D27104" w14:textId="68DE213A"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6.4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will </w:t>
      </w:r>
      <w:proofErr w:type="spellStart"/>
      <w:proofErr w:type="gramStart"/>
      <w:r w:rsidRPr="00FD09CD">
        <w:rPr>
          <w:rFonts w:ascii="Palatino Linotype" w:eastAsia="Times New Roman" w:hAnsi="Palatino Linotype" w:cs="Times New Roman"/>
          <w:sz w:val="24"/>
          <w:szCs w:val="24"/>
          <w:lang w:val="en-GB" w:eastAsia="en-GB"/>
        </w:rPr>
        <w:t>endeavor</w:t>
      </w:r>
      <w:proofErr w:type="spellEnd"/>
      <w:r w:rsidRPr="00FD09CD">
        <w:rPr>
          <w:rFonts w:ascii="Palatino Linotype" w:eastAsia="Times New Roman" w:hAnsi="Palatino Linotype" w:cs="Times New Roman"/>
          <w:sz w:val="24"/>
          <w:szCs w:val="24"/>
          <w:lang w:val="en-GB" w:eastAsia="en-GB"/>
        </w:rPr>
        <w:t xml:space="preserve"> at all times</w:t>
      </w:r>
      <w:proofErr w:type="gramEnd"/>
      <w:r w:rsidRPr="00FD09CD">
        <w:rPr>
          <w:rFonts w:ascii="Palatino Linotype" w:eastAsia="Times New Roman" w:hAnsi="Palatino Linotype" w:cs="Times New Roman"/>
          <w:sz w:val="24"/>
          <w:szCs w:val="24"/>
          <w:lang w:val="en-GB" w:eastAsia="en-GB"/>
        </w:rPr>
        <w:t xml:space="preserve"> to ensure that it preserves continuation of study. Where events would not permit continuation of study the College would consider compensation claims by a student for maintenance costs and lost time. Any compensation in this respect would be based on the student producing objective evidence to demonstrate loss of maintenance and lost time. </w:t>
      </w:r>
    </w:p>
    <w:p w14:paraId="35468922" w14:textId="6BB875BA"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6.5. Where a student </w:t>
      </w:r>
      <w:proofErr w:type="gramStart"/>
      <w:r w:rsidRPr="00FD09CD">
        <w:rPr>
          <w:rFonts w:ascii="Palatino Linotype" w:eastAsia="Times New Roman" w:hAnsi="Palatino Linotype" w:cs="Times New Roman"/>
          <w:sz w:val="24"/>
          <w:szCs w:val="24"/>
          <w:lang w:val="en-GB" w:eastAsia="en-GB"/>
        </w:rPr>
        <w:t>has to</w:t>
      </w:r>
      <w:proofErr w:type="gramEnd"/>
      <w:r w:rsidRPr="00FD09CD">
        <w:rPr>
          <w:rFonts w:ascii="Palatino Linotype" w:eastAsia="Times New Roman" w:hAnsi="Palatino Linotype" w:cs="Times New Roman"/>
          <w:sz w:val="24"/>
          <w:szCs w:val="24"/>
          <w:lang w:val="en-GB" w:eastAsia="en-GB"/>
        </w:rPr>
        <w:t xml:space="preserve"> transfer to another higher education provider to complete their programme of study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will consider making compensation for tuition and maintenance costs. This would only apply where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was itself unable to continue delivering the course to the student due to, for example, sudden closure of the College, immediate loss of Centre approval by Pearson or other circumstances outside of the control of the College.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 will, </w:t>
      </w:r>
      <w:proofErr w:type="gramStart"/>
      <w:r w:rsidRPr="00FD09CD">
        <w:rPr>
          <w:rFonts w:ascii="Palatino Linotype" w:eastAsia="Times New Roman" w:hAnsi="Palatino Linotype" w:cs="Times New Roman"/>
          <w:sz w:val="24"/>
          <w:szCs w:val="24"/>
          <w:lang w:val="en-GB" w:eastAsia="en-GB"/>
        </w:rPr>
        <w:t>at all times</w:t>
      </w:r>
      <w:proofErr w:type="gramEnd"/>
      <w:r w:rsidRPr="00FD09CD">
        <w:rPr>
          <w:rFonts w:ascii="Palatino Linotype" w:eastAsia="Times New Roman" w:hAnsi="Palatino Linotype" w:cs="Times New Roman"/>
          <w:sz w:val="24"/>
          <w:szCs w:val="24"/>
          <w:lang w:val="en-GB" w:eastAsia="en-GB"/>
        </w:rPr>
        <w:t xml:space="preserve">, </w:t>
      </w:r>
      <w:proofErr w:type="spellStart"/>
      <w:r w:rsidRPr="00FD09CD">
        <w:rPr>
          <w:rFonts w:ascii="Palatino Linotype" w:eastAsia="Times New Roman" w:hAnsi="Palatino Linotype" w:cs="Times New Roman"/>
          <w:sz w:val="24"/>
          <w:szCs w:val="24"/>
          <w:lang w:val="en-GB" w:eastAsia="en-GB"/>
        </w:rPr>
        <w:t>endeavor</w:t>
      </w:r>
      <w:proofErr w:type="spellEnd"/>
      <w:r w:rsidRPr="00FD09CD">
        <w:rPr>
          <w:rFonts w:ascii="Palatino Linotype" w:eastAsia="Times New Roman" w:hAnsi="Palatino Linotype" w:cs="Times New Roman"/>
          <w:sz w:val="24"/>
          <w:szCs w:val="24"/>
          <w:lang w:val="en-GB" w:eastAsia="en-GB"/>
        </w:rPr>
        <w:t xml:space="preserve"> to ensure that the student could continue and complete their programme of study at the College. </w:t>
      </w:r>
    </w:p>
    <w:p w14:paraId="6E07BFA8" w14:textId="6DDDCBD8"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t xml:space="preserve">6.6 Claims for compensation made by a student or group of students will be considered by a Compensation Panel consisting of the Principal, Director of Quality </w:t>
      </w:r>
      <w:proofErr w:type="gramStart"/>
      <w:r w:rsidR="009A7B06">
        <w:rPr>
          <w:rFonts w:ascii="Palatino Linotype" w:eastAsia="Times New Roman" w:hAnsi="Palatino Linotype" w:cs="Times New Roman"/>
          <w:sz w:val="24"/>
          <w:szCs w:val="24"/>
          <w:lang w:val="en-GB" w:eastAsia="en-GB"/>
        </w:rPr>
        <w:t>Assurance</w:t>
      </w:r>
      <w:proofErr w:type="gramEnd"/>
      <w:r w:rsidR="009A7B06">
        <w:rPr>
          <w:rFonts w:ascii="Palatino Linotype" w:eastAsia="Times New Roman" w:hAnsi="Palatino Linotype" w:cs="Times New Roman"/>
          <w:sz w:val="24"/>
          <w:szCs w:val="24"/>
          <w:lang w:val="en-GB" w:eastAsia="en-GB"/>
        </w:rPr>
        <w:t xml:space="preserve"> </w:t>
      </w:r>
      <w:r w:rsidRPr="00FD09CD">
        <w:rPr>
          <w:rFonts w:ascii="Palatino Linotype" w:eastAsia="Times New Roman" w:hAnsi="Palatino Linotype" w:cs="Times New Roman"/>
          <w:sz w:val="24"/>
          <w:szCs w:val="24"/>
          <w:lang w:val="en-GB" w:eastAsia="en-GB"/>
        </w:rPr>
        <w:t xml:space="preserve">and the Student </w:t>
      </w:r>
      <w:r w:rsidRPr="002B0D60">
        <w:rPr>
          <w:rFonts w:ascii="Palatino Linotype" w:eastAsia="Times New Roman" w:hAnsi="Palatino Linotype" w:cs="Times New Roman"/>
          <w:sz w:val="24"/>
          <w:szCs w:val="24"/>
          <w:lang w:val="en-GB" w:eastAsia="en-GB"/>
        </w:rPr>
        <w:t>Support</w:t>
      </w:r>
      <w:r w:rsidRPr="00FD09CD">
        <w:rPr>
          <w:rFonts w:ascii="Palatino Linotype" w:eastAsia="Times New Roman" w:hAnsi="Palatino Linotype" w:cs="Times New Roman"/>
          <w:sz w:val="24"/>
          <w:szCs w:val="24"/>
          <w:lang w:val="en-GB" w:eastAsia="en-GB"/>
        </w:rPr>
        <w:t xml:space="preserve"> Officer. The panel will adopt an evidence-based approach and deal with any claims made sympathetically. The Panel will also develop an approach to compensation when a cohort of students or all students are affected by a significant disruption. Any student or group of students not satisfied with the College’s approach to compensation can use the College’s Complaints Policy and Procedure. </w:t>
      </w:r>
    </w:p>
    <w:p w14:paraId="3A5075DC" w14:textId="77777777"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Arial"/>
          <w:b/>
          <w:bCs/>
          <w:sz w:val="24"/>
          <w:szCs w:val="24"/>
          <w:lang w:val="en-GB" w:eastAsia="en-GB"/>
        </w:rPr>
        <w:t xml:space="preserve">5. Complaints </w:t>
      </w:r>
    </w:p>
    <w:p w14:paraId="3BC64D11" w14:textId="10DE1D0A" w:rsidR="00FD09CD" w:rsidRPr="00FD09CD" w:rsidRDefault="00FD09CD" w:rsidP="00FD09CD">
      <w:pPr>
        <w:widowControl/>
        <w:autoSpaceDE/>
        <w:autoSpaceDN/>
        <w:spacing w:before="100" w:beforeAutospacing="1" w:after="100" w:afterAutospacing="1"/>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lastRenderedPageBreak/>
        <w:t xml:space="preserve">5.1 If a student has a complaint related to this Tuition Fee Refund and Compensation Policy </w:t>
      </w:r>
      <w:proofErr w:type="spellStart"/>
      <w:r w:rsidRPr="002B0D60">
        <w:rPr>
          <w:rFonts w:ascii="Palatino Linotype" w:eastAsia="Times New Roman" w:hAnsi="Palatino Linotype" w:cs="Times New Roman"/>
          <w:sz w:val="24"/>
          <w:szCs w:val="24"/>
          <w:lang w:val="en-GB" w:eastAsia="en-GB"/>
        </w:rPr>
        <w:t>Acmet</w:t>
      </w:r>
      <w:proofErr w:type="spellEnd"/>
      <w:r w:rsidRPr="002B0D60">
        <w:rPr>
          <w:rFonts w:ascii="Palatino Linotype" w:eastAsia="Times New Roman" w:hAnsi="Palatino Linotype" w:cs="Times New Roman"/>
          <w:sz w:val="24"/>
          <w:szCs w:val="24"/>
          <w:lang w:val="en-GB" w:eastAsia="en-GB"/>
        </w:rPr>
        <w:t xml:space="preserve"> London</w:t>
      </w:r>
      <w:r w:rsidRPr="00FD09CD">
        <w:rPr>
          <w:rFonts w:ascii="Palatino Linotype" w:eastAsia="Times New Roman" w:hAnsi="Palatino Linotype" w:cs="Times New Roman"/>
          <w:sz w:val="24"/>
          <w:szCs w:val="24"/>
          <w:lang w:val="en-GB" w:eastAsia="en-GB"/>
        </w:rPr>
        <w:t xml:space="preserve"> College’s Complaints policy and Procedure should be </w:t>
      </w:r>
      <w:proofErr w:type="gramStart"/>
      <w:r w:rsidRPr="00FD09CD">
        <w:rPr>
          <w:rFonts w:ascii="Palatino Linotype" w:eastAsia="Times New Roman" w:hAnsi="Palatino Linotype" w:cs="Times New Roman"/>
          <w:sz w:val="24"/>
          <w:szCs w:val="24"/>
          <w:lang w:val="en-GB" w:eastAsia="en-GB"/>
        </w:rPr>
        <w:t>used .</w:t>
      </w:r>
      <w:proofErr w:type="gramEnd"/>
      <w:r w:rsidRPr="00FD09CD">
        <w:rPr>
          <w:rFonts w:ascii="Palatino Linotype" w:eastAsia="Times New Roman" w:hAnsi="Palatino Linotype" w:cs="Times New Roman"/>
          <w:sz w:val="24"/>
          <w:szCs w:val="24"/>
          <w:lang w:val="en-GB" w:eastAsia="en-GB"/>
        </w:rPr>
        <w:t xml:space="preserve"> The Complaints Policy states that all efforts should be made to resolve a complaint informally before resorting to making a formal complaint. </w:t>
      </w:r>
    </w:p>
    <w:p w14:paraId="013B0F4B" w14:textId="7B6C0F73" w:rsidR="00FD09CD" w:rsidRPr="00FD09CD" w:rsidRDefault="00FD09CD" w:rsidP="00FD09CD">
      <w:pPr>
        <w:widowControl/>
        <w:autoSpaceDE/>
        <w:autoSpaceDN/>
        <w:rPr>
          <w:rFonts w:ascii="Palatino Linotype" w:eastAsia="Times New Roman" w:hAnsi="Palatino Linotype" w:cs="Times New Roman"/>
          <w:sz w:val="24"/>
          <w:szCs w:val="24"/>
          <w:lang w:val="en-GB" w:eastAsia="en-GB"/>
        </w:rPr>
      </w:pPr>
      <w:r w:rsidRPr="00FD09CD">
        <w:rPr>
          <w:rFonts w:ascii="Palatino Linotype" w:eastAsia="Times New Roman" w:hAnsi="Palatino Linotype" w:cs="Times New Roman"/>
          <w:sz w:val="24"/>
          <w:szCs w:val="24"/>
          <w:lang w:val="en-GB" w:eastAsia="en-GB"/>
        </w:rPr>
        <w:fldChar w:fldCharType="begin"/>
      </w:r>
      <w:r w:rsidRPr="00FD09CD">
        <w:rPr>
          <w:rFonts w:ascii="Palatino Linotype" w:eastAsia="Times New Roman" w:hAnsi="Palatino Linotype" w:cs="Times New Roman"/>
          <w:sz w:val="24"/>
          <w:szCs w:val="24"/>
          <w:lang w:val="en-GB" w:eastAsia="en-GB"/>
        </w:rPr>
        <w:instrText xml:space="preserve"> INCLUDEPICTURE "/var/folders/b5/wnw2kzp549q54qn33m86v5640000gn/T/com.microsoft.Word/WebArchiveCopyPasteTempFiles/page4image8187136" \* MERGEFORMATINET </w:instrText>
      </w:r>
      <w:r w:rsidRPr="00FD09CD">
        <w:rPr>
          <w:rFonts w:ascii="Palatino Linotype" w:eastAsia="Times New Roman" w:hAnsi="Palatino Linotype" w:cs="Times New Roman"/>
          <w:sz w:val="24"/>
          <w:szCs w:val="24"/>
          <w:lang w:val="en-GB" w:eastAsia="en-GB"/>
        </w:rPr>
        <w:fldChar w:fldCharType="separate"/>
      </w:r>
      <w:r w:rsidRPr="002B0D60">
        <w:rPr>
          <w:rFonts w:ascii="Palatino Linotype" w:eastAsia="Times New Roman" w:hAnsi="Palatino Linotype" w:cs="Times New Roman"/>
          <w:noProof/>
          <w:sz w:val="24"/>
          <w:szCs w:val="24"/>
          <w:lang w:val="en-GB" w:eastAsia="en-GB"/>
        </w:rPr>
        <w:drawing>
          <wp:inline distT="0" distB="0" distL="0" distR="0" wp14:anchorId="6143FB65" wp14:editId="30AD1785">
            <wp:extent cx="1459865" cy="2743200"/>
            <wp:effectExtent l="0" t="0" r="0" b="0"/>
            <wp:docPr id="1" name="Picture 1" descr="page4image818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4image8187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9865" cy="2743200"/>
                    </a:xfrm>
                    <a:prstGeom prst="rect">
                      <a:avLst/>
                    </a:prstGeom>
                    <a:noFill/>
                    <a:ln>
                      <a:noFill/>
                    </a:ln>
                  </pic:spPr>
                </pic:pic>
              </a:graphicData>
            </a:graphic>
          </wp:inline>
        </w:drawing>
      </w:r>
      <w:r w:rsidRPr="00FD09CD">
        <w:rPr>
          <w:rFonts w:ascii="Palatino Linotype" w:eastAsia="Times New Roman" w:hAnsi="Palatino Linotype" w:cs="Times New Roman"/>
          <w:sz w:val="24"/>
          <w:szCs w:val="24"/>
          <w:lang w:val="en-GB" w:eastAsia="en-GB"/>
        </w:rPr>
        <w:fldChar w:fldCharType="end"/>
      </w:r>
    </w:p>
    <w:p w14:paraId="06BD0BFC" w14:textId="22CBFA75" w:rsidR="006411B0" w:rsidRPr="002B0D60" w:rsidRDefault="006411B0">
      <w:pPr>
        <w:pStyle w:val="BodyText"/>
        <w:ind w:left="112"/>
        <w:rPr>
          <w:rFonts w:ascii="Palatino Linotype" w:hAnsi="Palatino Linotype"/>
          <w:sz w:val="24"/>
          <w:szCs w:val="24"/>
        </w:rPr>
      </w:pPr>
    </w:p>
    <w:sectPr w:rsidR="006411B0" w:rsidRPr="002B0D60">
      <w:type w:val="continuous"/>
      <w:pgSz w:w="11910" w:h="16840"/>
      <w:pgMar w:top="400" w:right="32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Calibri"/>
    <w:panose1 w:val="020B0604020202020204"/>
    <w:charset w:val="00"/>
    <w:family w:val="swiss"/>
    <w:pitch w:val="variable"/>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F7D56"/>
    <w:multiLevelType w:val="hybridMultilevel"/>
    <w:tmpl w:val="D366666E"/>
    <w:lvl w:ilvl="0" w:tplc="D3EED60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46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B0"/>
    <w:rsid w:val="002B0D60"/>
    <w:rsid w:val="00352E84"/>
    <w:rsid w:val="00401612"/>
    <w:rsid w:val="006411B0"/>
    <w:rsid w:val="006C5DF3"/>
    <w:rsid w:val="0093441A"/>
    <w:rsid w:val="009A7B06"/>
    <w:rsid w:val="00A34ADF"/>
    <w:rsid w:val="00AE1D05"/>
    <w:rsid w:val="00B659D2"/>
    <w:rsid w:val="00D74130"/>
    <w:rsid w:val="00FD09CD"/>
    <w:rsid w:val="00FE0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98E1"/>
  <w15:docId w15:val="{F38B8BF7-0C9C-2443-B854-25508686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D09C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9953">
      <w:bodyDiv w:val="1"/>
      <w:marLeft w:val="0"/>
      <w:marRight w:val="0"/>
      <w:marTop w:val="0"/>
      <w:marBottom w:val="0"/>
      <w:divBdr>
        <w:top w:val="none" w:sz="0" w:space="0" w:color="auto"/>
        <w:left w:val="none" w:sz="0" w:space="0" w:color="auto"/>
        <w:bottom w:val="none" w:sz="0" w:space="0" w:color="auto"/>
        <w:right w:val="none" w:sz="0" w:space="0" w:color="auto"/>
      </w:divBdr>
      <w:divsChild>
        <w:div w:id="1017199187">
          <w:marLeft w:val="0"/>
          <w:marRight w:val="0"/>
          <w:marTop w:val="0"/>
          <w:marBottom w:val="0"/>
          <w:divBdr>
            <w:top w:val="none" w:sz="0" w:space="0" w:color="auto"/>
            <w:left w:val="none" w:sz="0" w:space="0" w:color="auto"/>
            <w:bottom w:val="none" w:sz="0" w:space="0" w:color="auto"/>
            <w:right w:val="none" w:sz="0" w:space="0" w:color="auto"/>
          </w:divBdr>
          <w:divsChild>
            <w:div w:id="1197503651">
              <w:marLeft w:val="0"/>
              <w:marRight w:val="0"/>
              <w:marTop w:val="0"/>
              <w:marBottom w:val="0"/>
              <w:divBdr>
                <w:top w:val="none" w:sz="0" w:space="0" w:color="auto"/>
                <w:left w:val="none" w:sz="0" w:space="0" w:color="auto"/>
                <w:bottom w:val="none" w:sz="0" w:space="0" w:color="auto"/>
                <w:right w:val="none" w:sz="0" w:space="0" w:color="auto"/>
              </w:divBdr>
              <w:divsChild>
                <w:div w:id="1950620856">
                  <w:marLeft w:val="0"/>
                  <w:marRight w:val="0"/>
                  <w:marTop w:val="0"/>
                  <w:marBottom w:val="0"/>
                  <w:divBdr>
                    <w:top w:val="none" w:sz="0" w:space="0" w:color="auto"/>
                    <w:left w:val="none" w:sz="0" w:space="0" w:color="auto"/>
                    <w:bottom w:val="none" w:sz="0" w:space="0" w:color="auto"/>
                    <w:right w:val="none" w:sz="0" w:space="0" w:color="auto"/>
                  </w:divBdr>
                </w:div>
              </w:divsChild>
            </w:div>
            <w:div w:id="1188181487">
              <w:marLeft w:val="0"/>
              <w:marRight w:val="0"/>
              <w:marTop w:val="0"/>
              <w:marBottom w:val="0"/>
              <w:divBdr>
                <w:top w:val="none" w:sz="0" w:space="0" w:color="auto"/>
                <w:left w:val="none" w:sz="0" w:space="0" w:color="auto"/>
                <w:bottom w:val="none" w:sz="0" w:space="0" w:color="auto"/>
                <w:right w:val="none" w:sz="0" w:space="0" w:color="auto"/>
              </w:divBdr>
              <w:divsChild>
                <w:div w:id="800611213">
                  <w:marLeft w:val="0"/>
                  <w:marRight w:val="0"/>
                  <w:marTop w:val="0"/>
                  <w:marBottom w:val="0"/>
                  <w:divBdr>
                    <w:top w:val="none" w:sz="0" w:space="0" w:color="auto"/>
                    <w:left w:val="none" w:sz="0" w:space="0" w:color="auto"/>
                    <w:bottom w:val="none" w:sz="0" w:space="0" w:color="auto"/>
                    <w:right w:val="none" w:sz="0" w:space="0" w:color="auto"/>
                  </w:divBdr>
                </w:div>
              </w:divsChild>
            </w:div>
            <w:div w:id="315305567">
              <w:marLeft w:val="0"/>
              <w:marRight w:val="0"/>
              <w:marTop w:val="0"/>
              <w:marBottom w:val="0"/>
              <w:divBdr>
                <w:top w:val="none" w:sz="0" w:space="0" w:color="auto"/>
                <w:left w:val="none" w:sz="0" w:space="0" w:color="auto"/>
                <w:bottom w:val="none" w:sz="0" w:space="0" w:color="auto"/>
                <w:right w:val="none" w:sz="0" w:space="0" w:color="auto"/>
              </w:divBdr>
              <w:divsChild>
                <w:div w:id="917787597">
                  <w:marLeft w:val="0"/>
                  <w:marRight w:val="0"/>
                  <w:marTop w:val="0"/>
                  <w:marBottom w:val="0"/>
                  <w:divBdr>
                    <w:top w:val="none" w:sz="0" w:space="0" w:color="auto"/>
                    <w:left w:val="none" w:sz="0" w:space="0" w:color="auto"/>
                    <w:bottom w:val="none" w:sz="0" w:space="0" w:color="auto"/>
                    <w:right w:val="none" w:sz="0" w:space="0" w:color="auto"/>
                  </w:divBdr>
                </w:div>
              </w:divsChild>
            </w:div>
            <w:div w:id="2052537499">
              <w:marLeft w:val="0"/>
              <w:marRight w:val="0"/>
              <w:marTop w:val="0"/>
              <w:marBottom w:val="0"/>
              <w:divBdr>
                <w:top w:val="none" w:sz="0" w:space="0" w:color="auto"/>
                <w:left w:val="none" w:sz="0" w:space="0" w:color="auto"/>
                <w:bottom w:val="none" w:sz="0" w:space="0" w:color="auto"/>
                <w:right w:val="none" w:sz="0" w:space="0" w:color="auto"/>
              </w:divBdr>
              <w:divsChild>
                <w:div w:id="2084334856">
                  <w:marLeft w:val="0"/>
                  <w:marRight w:val="0"/>
                  <w:marTop w:val="0"/>
                  <w:marBottom w:val="0"/>
                  <w:divBdr>
                    <w:top w:val="none" w:sz="0" w:space="0" w:color="auto"/>
                    <w:left w:val="none" w:sz="0" w:space="0" w:color="auto"/>
                    <w:bottom w:val="none" w:sz="0" w:space="0" w:color="auto"/>
                    <w:right w:val="none" w:sz="0" w:space="0" w:color="auto"/>
                  </w:divBdr>
                </w:div>
              </w:divsChild>
            </w:div>
            <w:div w:id="342514119">
              <w:marLeft w:val="0"/>
              <w:marRight w:val="0"/>
              <w:marTop w:val="0"/>
              <w:marBottom w:val="0"/>
              <w:divBdr>
                <w:top w:val="none" w:sz="0" w:space="0" w:color="auto"/>
                <w:left w:val="none" w:sz="0" w:space="0" w:color="auto"/>
                <w:bottom w:val="none" w:sz="0" w:space="0" w:color="auto"/>
                <w:right w:val="none" w:sz="0" w:space="0" w:color="auto"/>
              </w:divBdr>
              <w:divsChild>
                <w:div w:id="7703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89737">
          <w:marLeft w:val="0"/>
          <w:marRight w:val="0"/>
          <w:marTop w:val="0"/>
          <w:marBottom w:val="0"/>
          <w:divBdr>
            <w:top w:val="none" w:sz="0" w:space="0" w:color="auto"/>
            <w:left w:val="none" w:sz="0" w:space="0" w:color="auto"/>
            <w:bottom w:val="none" w:sz="0" w:space="0" w:color="auto"/>
            <w:right w:val="none" w:sz="0" w:space="0" w:color="auto"/>
          </w:divBdr>
          <w:divsChild>
            <w:div w:id="914050713">
              <w:marLeft w:val="0"/>
              <w:marRight w:val="0"/>
              <w:marTop w:val="0"/>
              <w:marBottom w:val="0"/>
              <w:divBdr>
                <w:top w:val="none" w:sz="0" w:space="0" w:color="auto"/>
                <w:left w:val="none" w:sz="0" w:space="0" w:color="auto"/>
                <w:bottom w:val="none" w:sz="0" w:space="0" w:color="auto"/>
                <w:right w:val="none" w:sz="0" w:space="0" w:color="auto"/>
              </w:divBdr>
              <w:divsChild>
                <w:div w:id="624507816">
                  <w:marLeft w:val="0"/>
                  <w:marRight w:val="0"/>
                  <w:marTop w:val="0"/>
                  <w:marBottom w:val="0"/>
                  <w:divBdr>
                    <w:top w:val="none" w:sz="0" w:space="0" w:color="auto"/>
                    <w:left w:val="none" w:sz="0" w:space="0" w:color="auto"/>
                    <w:bottom w:val="none" w:sz="0" w:space="0" w:color="auto"/>
                    <w:right w:val="none" w:sz="0" w:space="0" w:color="auto"/>
                  </w:divBdr>
                </w:div>
              </w:divsChild>
            </w:div>
            <w:div w:id="2081633071">
              <w:marLeft w:val="0"/>
              <w:marRight w:val="0"/>
              <w:marTop w:val="0"/>
              <w:marBottom w:val="0"/>
              <w:divBdr>
                <w:top w:val="none" w:sz="0" w:space="0" w:color="auto"/>
                <w:left w:val="none" w:sz="0" w:space="0" w:color="auto"/>
                <w:bottom w:val="none" w:sz="0" w:space="0" w:color="auto"/>
                <w:right w:val="none" w:sz="0" w:space="0" w:color="auto"/>
              </w:divBdr>
              <w:divsChild>
                <w:div w:id="1534617333">
                  <w:marLeft w:val="0"/>
                  <w:marRight w:val="0"/>
                  <w:marTop w:val="0"/>
                  <w:marBottom w:val="0"/>
                  <w:divBdr>
                    <w:top w:val="none" w:sz="0" w:space="0" w:color="auto"/>
                    <w:left w:val="none" w:sz="0" w:space="0" w:color="auto"/>
                    <w:bottom w:val="none" w:sz="0" w:space="0" w:color="auto"/>
                    <w:right w:val="none" w:sz="0" w:space="0" w:color="auto"/>
                  </w:divBdr>
                </w:div>
              </w:divsChild>
            </w:div>
            <w:div w:id="1259871253">
              <w:marLeft w:val="0"/>
              <w:marRight w:val="0"/>
              <w:marTop w:val="0"/>
              <w:marBottom w:val="0"/>
              <w:divBdr>
                <w:top w:val="none" w:sz="0" w:space="0" w:color="auto"/>
                <w:left w:val="none" w:sz="0" w:space="0" w:color="auto"/>
                <w:bottom w:val="none" w:sz="0" w:space="0" w:color="auto"/>
                <w:right w:val="none" w:sz="0" w:space="0" w:color="auto"/>
              </w:divBdr>
              <w:divsChild>
                <w:div w:id="431166387">
                  <w:marLeft w:val="0"/>
                  <w:marRight w:val="0"/>
                  <w:marTop w:val="0"/>
                  <w:marBottom w:val="0"/>
                  <w:divBdr>
                    <w:top w:val="none" w:sz="0" w:space="0" w:color="auto"/>
                    <w:left w:val="none" w:sz="0" w:space="0" w:color="auto"/>
                    <w:bottom w:val="none" w:sz="0" w:space="0" w:color="auto"/>
                    <w:right w:val="none" w:sz="0" w:space="0" w:color="auto"/>
                  </w:divBdr>
                </w:div>
              </w:divsChild>
            </w:div>
            <w:div w:id="513884769">
              <w:marLeft w:val="0"/>
              <w:marRight w:val="0"/>
              <w:marTop w:val="0"/>
              <w:marBottom w:val="0"/>
              <w:divBdr>
                <w:top w:val="none" w:sz="0" w:space="0" w:color="auto"/>
                <w:left w:val="none" w:sz="0" w:space="0" w:color="auto"/>
                <w:bottom w:val="none" w:sz="0" w:space="0" w:color="auto"/>
                <w:right w:val="none" w:sz="0" w:space="0" w:color="auto"/>
              </w:divBdr>
              <w:divsChild>
                <w:div w:id="1596935751">
                  <w:marLeft w:val="0"/>
                  <w:marRight w:val="0"/>
                  <w:marTop w:val="0"/>
                  <w:marBottom w:val="0"/>
                  <w:divBdr>
                    <w:top w:val="none" w:sz="0" w:space="0" w:color="auto"/>
                    <w:left w:val="none" w:sz="0" w:space="0" w:color="auto"/>
                    <w:bottom w:val="none" w:sz="0" w:space="0" w:color="auto"/>
                    <w:right w:val="none" w:sz="0" w:space="0" w:color="auto"/>
                  </w:divBdr>
                </w:div>
              </w:divsChild>
            </w:div>
            <w:div w:id="1575775848">
              <w:marLeft w:val="0"/>
              <w:marRight w:val="0"/>
              <w:marTop w:val="0"/>
              <w:marBottom w:val="0"/>
              <w:divBdr>
                <w:top w:val="none" w:sz="0" w:space="0" w:color="auto"/>
                <w:left w:val="none" w:sz="0" w:space="0" w:color="auto"/>
                <w:bottom w:val="none" w:sz="0" w:space="0" w:color="auto"/>
                <w:right w:val="none" w:sz="0" w:space="0" w:color="auto"/>
              </w:divBdr>
              <w:divsChild>
                <w:div w:id="680013326">
                  <w:marLeft w:val="0"/>
                  <w:marRight w:val="0"/>
                  <w:marTop w:val="0"/>
                  <w:marBottom w:val="0"/>
                  <w:divBdr>
                    <w:top w:val="none" w:sz="0" w:space="0" w:color="auto"/>
                    <w:left w:val="none" w:sz="0" w:space="0" w:color="auto"/>
                    <w:bottom w:val="none" w:sz="0" w:space="0" w:color="auto"/>
                    <w:right w:val="none" w:sz="0" w:space="0" w:color="auto"/>
                  </w:divBdr>
                </w:div>
              </w:divsChild>
            </w:div>
            <w:div w:id="1404914267">
              <w:marLeft w:val="0"/>
              <w:marRight w:val="0"/>
              <w:marTop w:val="0"/>
              <w:marBottom w:val="0"/>
              <w:divBdr>
                <w:top w:val="none" w:sz="0" w:space="0" w:color="auto"/>
                <w:left w:val="none" w:sz="0" w:space="0" w:color="auto"/>
                <w:bottom w:val="none" w:sz="0" w:space="0" w:color="auto"/>
                <w:right w:val="none" w:sz="0" w:space="0" w:color="auto"/>
              </w:divBdr>
              <w:divsChild>
                <w:div w:id="678964436">
                  <w:marLeft w:val="0"/>
                  <w:marRight w:val="0"/>
                  <w:marTop w:val="0"/>
                  <w:marBottom w:val="0"/>
                  <w:divBdr>
                    <w:top w:val="none" w:sz="0" w:space="0" w:color="auto"/>
                    <w:left w:val="none" w:sz="0" w:space="0" w:color="auto"/>
                    <w:bottom w:val="none" w:sz="0" w:space="0" w:color="auto"/>
                    <w:right w:val="none" w:sz="0" w:space="0" w:color="auto"/>
                  </w:divBdr>
                </w:div>
              </w:divsChild>
            </w:div>
            <w:div w:id="1443378238">
              <w:marLeft w:val="0"/>
              <w:marRight w:val="0"/>
              <w:marTop w:val="0"/>
              <w:marBottom w:val="0"/>
              <w:divBdr>
                <w:top w:val="none" w:sz="0" w:space="0" w:color="auto"/>
                <w:left w:val="none" w:sz="0" w:space="0" w:color="auto"/>
                <w:bottom w:val="none" w:sz="0" w:space="0" w:color="auto"/>
                <w:right w:val="none" w:sz="0" w:space="0" w:color="auto"/>
              </w:divBdr>
              <w:divsChild>
                <w:div w:id="632903955">
                  <w:marLeft w:val="0"/>
                  <w:marRight w:val="0"/>
                  <w:marTop w:val="0"/>
                  <w:marBottom w:val="0"/>
                  <w:divBdr>
                    <w:top w:val="none" w:sz="0" w:space="0" w:color="auto"/>
                    <w:left w:val="none" w:sz="0" w:space="0" w:color="auto"/>
                    <w:bottom w:val="none" w:sz="0" w:space="0" w:color="auto"/>
                    <w:right w:val="none" w:sz="0" w:space="0" w:color="auto"/>
                  </w:divBdr>
                </w:div>
              </w:divsChild>
            </w:div>
            <w:div w:id="363791076">
              <w:marLeft w:val="0"/>
              <w:marRight w:val="0"/>
              <w:marTop w:val="0"/>
              <w:marBottom w:val="0"/>
              <w:divBdr>
                <w:top w:val="none" w:sz="0" w:space="0" w:color="auto"/>
                <w:left w:val="none" w:sz="0" w:space="0" w:color="auto"/>
                <w:bottom w:val="none" w:sz="0" w:space="0" w:color="auto"/>
                <w:right w:val="none" w:sz="0" w:space="0" w:color="auto"/>
              </w:divBdr>
              <w:divsChild>
                <w:div w:id="1101216155">
                  <w:marLeft w:val="0"/>
                  <w:marRight w:val="0"/>
                  <w:marTop w:val="0"/>
                  <w:marBottom w:val="0"/>
                  <w:divBdr>
                    <w:top w:val="none" w:sz="0" w:space="0" w:color="auto"/>
                    <w:left w:val="none" w:sz="0" w:space="0" w:color="auto"/>
                    <w:bottom w:val="none" w:sz="0" w:space="0" w:color="auto"/>
                    <w:right w:val="none" w:sz="0" w:space="0" w:color="auto"/>
                  </w:divBdr>
                </w:div>
              </w:divsChild>
            </w:div>
            <w:div w:id="853416895">
              <w:marLeft w:val="0"/>
              <w:marRight w:val="0"/>
              <w:marTop w:val="0"/>
              <w:marBottom w:val="0"/>
              <w:divBdr>
                <w:top w:val="none" w:sz="0" w:space="0" w:color="auto"/>
                <w:left w:val="none" w:sz="0" w:space="0" w:color="auto"/>
                <w:bottom w:val="none" w:sz="0" w:space="0" w:color="auto"/>
                <w:right w:val="none" w:sz="0" w:space="0" w:color="auto"/>
              </w:divBdr>
              <w:divsChild>
                <w:div w:id="1811168195">
                  <w:marLeft w:val="0"/>
                  <w:marRight w:val="0"/>
                  <w:marTop w:val="0"/>
                  <w:marBottom w:val="0"/>
                  <w:divBdr>
                    <w:top w:val="none" w:sz="0" w:space="0" w:color="auto"/>
                    <w:left w:val="none" w:sz="0" w:space="0" w:color="auto"/>
                    <w:bottom w:val="none" w:sz="0" w:space="0" w:color="auto"/>
                    <w:right w:val="none" w:sz="0" w:space="0" w:color="auto"/>
                  </w:divBdr>
                </w:div>
              </w:divsChild>
            </w:div>
            <w:div w:id="2002199391">
              <w:marLeft w:val="0"/>
              <w:marRight w:val="0"/>
              <w:marTop w:val="0"/>
              <w:marBottom w:val="0"/>
              <w:divBdr>
                <w:top w:val="none" w:sz="0" w:space="0" w:color="auto"/>
                <w:left w:val="none" w:sz="0" w:space="0" w:color="auto"/>
                <w:bottom w:val="none" w:sz="0" w:space="0" w:color="auto"/>
                <w:right w:val="none" w:sz="0" w:space="0" w:color="auto"/>
              </w:divBdr>
              <w:divsChild>
                <w:div w:id="212230337">
                  <w:marLeft w:val="0"/>
                  <w:marRight w:val="0"/>
                  <w:marTop w:val="0"/>
                  <w:marBottom w:val="0"/>
                  <w:divBdr>
                    <w:top w:val="none" w:sz="0" w:space="0" w:color="auto"/>
                    <w:left w:val="none" w:sz="0" w:space="0" w:color="auto"/>
                    <w:bottom w:val="none" w:sz="0" w:space="0" w:color="auto"/>
                    <w:right w:val="none" w:sz="0" w:space="0" w:color="auto"/>
                  </w:divBdr>
                </w:div>
              </w:divsChild>
            </w:div>
            <w:div w:id="1658802431">
              <w:marLeft w:val="0"/>
              <w:marRight w:val="0"/>
              <w:marTop w:val="0"/>
              <w:marBottom w:val="0"/>
              <w:divBdr>
                <w:top w:val="none" w:sz="0" w:space="0" w:color="auto"/>
                <w:left w:val="none" w:sz="0" w:space="0" w:color="auto"/>
                <w:bottom w:val="none" w:sz="0" w:space="0" w:color="auto"/>
                <w:right w:val="none" w:sz="0" w:space="0" w:color="auto"/>
              </w:divBdr>
              <w:divsChild>
                <w:div w:id="224804881">
                  <w:marLeft w:val="0"/>
                  <w:marRight w:val="0"/>
                  <w:marTop w:val="0"/>
                  <w:marBottom w:val="0"/>
                  <w:divBdr>
                    <w:top w:val="none" w:sz="0" w:space="0" w:color="auto"/>
                    <w:left w:val="none" w:sz="0" w:space="0" w:color="auto"/>
                    <w:bottom w:val="none" w:sz="0" w:space="0" w:color="auto"/>
                    <w:right w:val="none" w:sz="0" w:space="0" w:color="auto"/>
                  </w:divBdr>
                </w:div>
              </w:divsChild>
            </w:div>
            <w:div w:id="725568711">
              <w:marLeft w:val="0"/>
              <w:marRight w:val="0"/>
              <w:marTop w:val="0"/>
              <w:marBottom w:val="0"/>
              <w:divBdr>
                <w:top w:val="none" w:sz="0" w:space="0" w:color="auto"/>
                <w:left w:val="none" w:sz="0" w:space="0" w:color="auto"/>
                <w:bottom w:val="none" w:sz="0" w:space="0" w:color="auto"/>
                <w:right w:val="none" w:sz="0" w:space="0" w:color="auto"/>
              </w:divBdr>
              <w:divsChild>
                <w:div w:id="1732851583">
                  <w:marLeft w:val="0"/>
                  <w:marRight w:val="0"/>
                  <w:marTop w:val="0"/>
                  <w:marBottom w:val="0"/>
                  <w:divBdr>
                    <w:top w:val="none" w:sz="0" w:space="0" w:color="auto"/>
                    <w:left w:val="none" w:sz="0" w:space="0" w:color="auto"/>
                    <w:bottom w:val="none" w:sz="0" w:space="0" w:color="auto"/>
                    <w:right w:val="none" w:sz="0" w:space="0" w:color="auto"/>
                  </w:divBdr>
                </w:div>
              </w:divsChild>
            </w:div>
            <w:div w:id="604268083">
              <w:marLeft w:val="0"/>
              <w:marRight w:val="0"/>
              <w:marTop w:val="0"/>
              <w:marBottom w:val="0"/>
              <w:divBdr>
                <w:top w:val="none" w:sz="0" w:space="0" w:color="auto"/>
                <w:left w:val="none" w:sz="0" w:space="0" w:color="auto"/>
                <w:bottom w:val="none" w:sz="0" w:space="0" w:color="auto"/>
                <w:right w:val="none" w:sz="0" w:space="0" w:color="auto"/>
              </w:divBdr>
              <w:divsChild>
                <w:div w:id="52513087">
                  <w:marLeft w:val="0"/>
                  <w:marRight w:val="0"/>
                  <w:marTop w:val="0"/>
                  <w:marBottom w:val="0"/>
                  <w:divBdr>
                    <w:top w:val="none" w:sz="0" w:space="0" w:color="auto"/>
                    <w:left w:val="none" w:sz="0" w:space="0" w:color="auto"/>
                    <w:bottom w:val="none" w:sz="0" w:space="0" w:color="auto"/>
                    <w:right w:val="none" w:sz="0" w:space="0" w:color="auto"/>
                  </w:divBdr>
                </w:div>
              </w:divsChild>
            </w:div>
            <w:div w:id="1042905135">
              <w:marLeft w:val="0"/>
              <w:marRight w:val="0"/>
              <w:marTop w:val="0"/>
              <w:marBottom w:val="0"/>
              <w:divBdr>
                <w:top w:val="none" w:sz="0" w:space="0" w:color="auto"/>
                <w:left w:val="none" w:sz="0" w:space="0" w:color="auto"/>
                <w:bottom w:val="none" w:sz="0" w:space="0" w:color="auto"/>
                <w:right w:val="none" w:sz="0" w:space="0" w:color="auto"/>
              </w:divBdr>
              <w:divsChild>
                <w:div w:id="1172069808">
                  <w:marLeft w:val="0"/>
                  <w:marRight w:val="0"/>
                  <w:marTop w:val="0"/>
                  <w:marBottom w:val="0"/>
                  <w:divBdr>
                    <w:top w:val="none" w:sz="0" w:space="0" w:color="auto"/>
                    <w:left w:val="none" w:sz="0" w:space="0" w:color="auto"/>
                    <w:bottom w:val="none" w:sz="0" w:space="0" w:color="auto"/>
                    <w:right w:val="none" w:sz="0" w:space="0" w:color="auto"/>
                  </w:divBdr>
                </w:div>
              </w:divsChild>
            </w:div>
            <w:div w:id="1261334608">
              <w:marLeft w:val="0"/>
              <w:marRight w:val="0"/>
              <w:marTop w:val="0"/>
              <w:marBottom w:val="0"/>
              <w:divBdr>
                <w:top w:val="none" w:sz="0" w:space="0" w:color="auto"/>
                <w:left w:val="none" w:sz="0" w:space="0" w:color="auto"/>
                <w:bottom w:val="none" w:sz="0" w:space="0" w:color="auto"/>
                <w:right w:val="none" w:sz="0" w:space="0" w:color="auto"/>
              </w:divBdr>
              <w:divsChild>
                <w:div w:id="13881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6044">
          <w:marLeft w:val="0"/>
          <w:marRight w:val="0"/>
          <w:marTop w:val="0"/>
          <w:marBottom w:val="0"/>
          <w:divBdr>
            <w:top w:val="none" w:sz="0" w:space="0" w:color="auto"/>
            <w:left w:val="none" w:sz="0" w:space="0" w:color="auto"/>
            <w:bottom w:val="none" w:sz="0" w:space="0" w:color="auto"/>
            <w:right w:val="none" w:sz="0" w:space="0" w:color="auto"/>
          </w:divBdr>
          <w:divsChild>
            <w:div w:id="903374921">
              <w:marLeft w:val="0"/>
              <w:marRight w:val="0"/>
              <w:marTop w:val="0"/>
              <w:marBottom w:val="0"/>
              <w:divBdr>
                <w:top w:val="none" w:sz="0" w:space="0" w:color="auto"/>
                <w:left w:val="none" w:sz="0" w:space="0" w:color="auto"/>
                <w:bottom w:val="none" w:sz="0" w:space="0" w:color="auto"/>
                <w:right w:val="none" w:sz="0" w:space="0" w:color="auto"/>
              </w:divBdr>
              <w:divsChild>
                <w:div w:id="2824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10381">
          <w:marLeft w:val="0"/>
          <w:marRight w:val="0"/>
          <w:marTop w:val="0"/>
          <w:marBottom w:val="0"/>
          <w:divBdr>
            <w:top w:val="none" w:sz="0" w:space="0" w:color="auto"/>
            <w:left w:val="none" w:sz="0" w:space="0" w:color="auto"/>
            <w:bottom w:val="none" w:sz="0" w:space="0" w:color="auto"/>
            <w:right w:val="none" w:sz="0" w:space="0" w:color="auto"/>
          </w:divBdr>
          <w:divsChild>
            <w:div w:id="1971863760">
              <w:marLeft w:val="0"/>
              <w:marRight w:val="0"/>
              <w:marTop w:val="0"/>
              <w:marBottom w:val="0"/>
              <w:divBdr>
                <w:top w:val="none" w:sz="0" w:space="0" w:color="auto"/>
                <w:left w:val="none" w:sz="0" w:space="0" w:color="auto"/>
                <w:bottom w:val="none" w:sz="0" w:space="0" w:color="auto"/>
                <w:right w:val="none" w:sz="0" w:space="0" w:color="auto"/>
              </w:divBdr>
              <w:divsChild>
                <w:div w:id="435642401">
                  <w:marLeft w:val="0"/>
                  <w:marRight w:val="0"/>
                  <w:marTop w:val="0"/>
                  <w:marBottom w:val="0"/>
                  <w:divBdr>
                    <w:top w:val="none" w:sz="0" w:space="0" w:color="auto"/>
                    <w:left w:val="none" w:sz="0" w:space="0" w:color="auto"/>
                    <w:bottom w:val="none" w:sz="0" w:space="0" w:color="auto"/>
                    <w:right w:val="none" w:sz="0" w:space="0" w:color="auto"/>
                  </w:divBdr>
                </w:div>
              </w:divsChild>
            </w:div>
            <w:div w:id="714232430">
              <w:marLeft w:val="0"/>
              <w:marRight w:val="0"/>
              <w:marTop w:val="0"/>
              <w:marBottom w:val="0"/>
              <w:divBdr>
                <w:top w:val="none" w:sz="0" w:space="0" w:color="auto"/>
                <w:left w:val="none" w:sz="0" w:space="0" w:color="auto"/>
                <w:bottom w:val="none" w:sz="0" w:space="0" w:color="auto"/>
                <w:right w:val="none" w:sz="0" w:space="0" w:color="auto"/>
              </w:divBdr>
              <w:divsChild>
                <w:div w:id="20290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dc:creator>
  <cp:lastModifiedBy>Muruhan Arifoglu</cp:lastModifiedBy>
  <cp:revision>2</cp:revision>
  <dcterms:created xsi:type="dcterms:W3CDTF">2023-01-27T17:31:00Z</dcterms:created>
  <dcterms:modified xsi:type="dcterms:W3CDTF">2023-01-27T17:31:00Z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Microsoft® Word for Microsoft 365</vt:lpwstr>
  </property>
  <property fmtid="{D5CDD505-2E9C-101B-9397-08002B2CF9AE}" pid="4" name="LastSaved">
    <vt:filetime>2022-08-01T00:00:00Z</vt:filetime>
  </property>
</Properties>
</file>