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801F" w14:textId="250C14CF" w:rsidR="00E9436E" w:rsidRPr="00A51AF5" w:rsidRDefault="00E9436E" w:rsidP="0040660B">
      <w:pPr>
        <w:jc w:val="center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Palatino Linotype" w:hAnsi="Palatino Linotype" w:cs="Times New Roman"/>
          <w:b/>
          <w:i/>
          <w:iCs/>
          <w:noProof/>
          <w:color w:val="000000" w:themeColor="text1"/>
        </w:rPr>
        <w:drawing>
          <wp:inline distT="0" distB="0" distL="0" distR="0" wp14:anchorId="5B8721C3" wp14:editId="298BB583">
            <wp:extent cx="946484" cy="937759"/>
            <wp:effectExtent l="0" t="0" r="0" b="2540"/>
            <wp:docPr id="1" name="Picture 7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54" cy="95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C059D" w14:textId="5E956024" w:rsidR="00655F03" w:rsidRPr="00A51AF5" w:rsidRDefault="00655F03" w:rsidP="00274DE6">
      <w:pPr>
        <w:jc w:val="center"/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  <w:t>ACMET LONDON COLLEGE</w:t>
      </w:r>
    </w:p>
    <w:p w14:paraId="7B23E968" w14:textId="3D28B904" w:rsidR="00655F03" w:rsidRPr="00A51AF5" w:rsidRDefault="00E9436E" w:rsidP="00655F03">
      <w:pPr>
        <w:jc w:val="center"/>
        <w:rPr>
          <w:rFonts w:ascii="Palatino Linotype" w:eastAsia="Times New Roman" w:hAnsi="Palatino Linotype" w:cs="Arial"/>
          <w:i/>
          <w:iCs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  <w:t>Terms of Reference, Constitution and Reporting Lines for Executive Board</w:t>
      </w:r>
      <w:r w:rsidRPr="00A51AF5"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  <w:br/>
      </w:r>
    </w:p>
    <w:p w14:paraId="5E4E9256" w14:textId="77777777" w:rsidR="00655F03" w:rsidRPr="00A51AF5" w:rsidRDefault="00655F03" w:rsidP="00655F03">
      <w:pPr>
        <w:jc w:val="center"/>
        <w:rPr>
          <w:rFonts w:ascii="Palatino Linotype" w:eastAsia="Times New Roman" w:hAnsi="Palatino Linotype" w:cs="Arial"/>
          <w:i/>
          <w:iCs/>
          <w:color w:val="000000" w:themeColor="text1"/>
          <w:lang w:eastAsia="en-GB"/>
        </w:rPr>
      </w:pPr>
    </w:p>
    <w:p w14:paraId="6D278172" w14:textId="14AA51A8" w:rsidR="00E9436E" w:rsidRPr="00A51AF5" w:rsidRDefault="00E9436E" w:rsidP="00655F03">
      <w:pPr>
        <w:pStyle w:val="ListParagraph"/>
        <w:numPr>
          <w:ilvl w:val="0"/>
          <w:numId w:val="2"/>
        </w:numPr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  <w:t xml:space="preserve">Purpose and scope </w:t>
      </w:r>
    </w:p>
    <w:p w14:paraId="4433DCCC" w14:textId="77777777" w:rsidR="00655F03" w:rsidRPr="00A51AF5" w:rsidRDefault="00655F03" w:rsidP="00655F03">
      <w:pPr>
        <w:pStyle w:val="ListParagraph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</w:p>
    <w:p w14:paraId="1F9DF0BF" w14:textId="79BE6483" w:rsidR="00E9436E" w:rsidRPr="00A51AF5" w:rsidRDefault="00E9436E" w:rsidP="00655F03">
      <w:pPr>
        <w:pStyle w:val="ListParagraph"/>
        <w:numPr>
          <w:ilvl w:val="1"/>
          <w:numId w:val="2"/>
        </w:num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Executive Board is the senior staff meeting of </w:t>
      </w:r>
      <w:proofErr w:type="spellStart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Acmet</w:t>
      </w:r>
      <w:proofErr w:type="spellEnd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 London College. It is responsible for the monitoring the implementation of the College’s Mission Statement, Strategic </w:t>
      </w:r>
      <w:proofErr w:type="gramStart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Plan</w:t>
      </w:r>
      <w:proofErr w:type="gramEnd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 and oversight of all activities across the College. </w:t>
      </w:r>
      <w:r w:rsidR="00727241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Furthermore, Executive Board aims to ensure providing value for money for the students and the taxpayers.</w:t>
      </w:r>
    </w:p>
    <w:p w14:paraId="4C3D293C" w14:textId="77777777" w:rsidR="00655F03" w:rsidRPr="00A51AF5" w:rsidRDefault="00655F03" w:rsidP="00655F03">
      <w:pPr>
        <w:pStyle w:val="ListParagraph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</w:p>
    <w:p w14:paraId="09298C75" w14:textId="6133DEE4" w:rsidR="00E9436E" w:rsidRPr="00A51AF5" w:rsidRDefault="00E9436E" w:rsidP="00655F03">
      <w:pPr>
        <w:pStyle w:val="ListParagraph"/>
        <w:numPr>
          <w:ilvl w:val="0"/>
          <w:numId w:val="2"/>
        </w:numPr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  <w:t xml:space="preserve">Terms of Reference </w:t>
      </w:r>
    </w:p>
    <w:p w14:paraId="2AF05684" w14:textId="77777777" w:rsidR="00655F03" w:rsidRPr="00A51AF5" w:rsidRDefault="00655F03" w:rsidP="00655F03">
      <w:pPr>
        <w:pStyle w:val="ListParagraph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</w:p>
    <w:p w14:paraId="19FE1968" w14:textId="77777777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2.1 To discuss and agree the College’s Mission Statement and Strategic </w:t>
      </w:r>
      <w:proofErr w:type="gramStart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Plan, and</w:t>
      </w:r>
      <w:proofErr w:type="gramEnd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 oversee its implementation and monitor progress with achieving the strategic objectives. </w:t>
      </w:r>
    </w:p>
    <w:p w14:paraId="44216766" w14:textId="77777777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2.2 To ensure that the College is operating according to the requirements of external bodies, including the Office for Students, </w:t>
      </w:r>
      <w:proofErr w:type="gramStart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QAA</w:t>
      </w:r>
      <w:proofErr w:type="gramEnd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 and Pearson. </w:t>
      </w:r>
    </w:p>
    <w:p w14:paraId="50888BDF" w14:textId="77777777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2.3 To discuss student matters and results of student feedback to determine enhancements to the student learning experience. </w:t>
      </w:r>
    </w:p>
    <w:p w14:paraId="216ABF5B" w14:textId="77777777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2.4 To receive and comment on reports by the Principal, Vice-Principal (Academic), Vice-Principal (Development), Student Services Manager and the Director of Quality Enhancement. </w:t>
      </w:r>
    </w:p>
    <w:p w14:paraId="173BDBA1" w14:textId="77777777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2.5 To oversee preparations for external visits by awarding bodies (Pearson), the QAA and progress with the QAA HER (AP) Action Plan. </w:t>
      </w:r>
    </w:p>
    <w:p w14:paraId="6E657398" w14:textId="77777777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2.6 To approve the management and academic governance structures of the College. </w:t>
      </w:r>
    </w:p>
    <w:p w14:paraId="451092B1" w14:textId="77777777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2.7 To oversee arrangements in the College to ensure compliance with UKVI requirements and regulations. </w:t>
      </w:r>
    </w:p>
    <w:p w14:paraId="27D86F89" w14:textId="77777777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2.8 To discuss learning resources and administrative resource needs of the College. 2.9 To discuss and make decisions on accommodation matters.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br/>
        <w:t xml:space="preserve">2.10 To discuss staffing matters and the staff development policy for the College. </w:t>
      </w:r>
    </w:p>
    <w:p w14:paraId="4DC63F44" w14:textId="77777777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2.11 To receive and discuss the minutes from meetings of the Academic Standards Board. </w:t>
      </w:r>
    </w:p>
    <w:p w14:paraId="4975FCE7" w14:textId="77777777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2.12 To agree and monitor the College’s policy for information about higher education. </w:t>
      </w:r>
    </w:p>
    <w:p w14:paraId="4E7404A8" w14:textId="092B2A3F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2</w:t>
      </w:r>
      <w:r w:rsidR="00727241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.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13 To discuss, decide and review any matters of strategic and senior management importance for the College. </w:t>
      </w:r>
    </w:p>
    <w:p w14:paraId="68F20E06" w14:textId="77E41F8B" w:rsidR="00727241" w:rsidRPr="00A51AF5" w:rsidRDefault="00727241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lastRenderedPageBreak/>
        <w:t xml:space="preserve">2.14 To </w:t>
      </w:r>
      <w:r w:rsidR="008F29CD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discuss and 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ensure value for money for the students.</w:t>
      </w:r>
    </w:p>
    <w:p w14:paraId="2B7FD0BF" w14:textId="2ADA74EA" w:rsidR="00727241" w:rsidRPr="00A51AF5" w:rsidRDefault="00727241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2.15 To </w:t>
      </w:r>
      <w:r w:rsidR="008F29CD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discuss and 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ensure value for money for the taxpayers</w:t>
      </w:r>
    </w:p>
    <w:p w14:paraId="53E37998" w14:textId="55A09EEA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2.1</w:t>
      </w:r>
      <w:r w:rsidR="00727241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6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 Any other matters of </w:t>
      </w:r>
      <w:proofErr w:type="gramStart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College</w:t>
      </w:r>
      <w:proofErr w:type="gramEnd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 wide and strategic interest </w:t>
      </w:r>
    </w:p>
    <w:p w14:paraId="7DD489DC" w14:textId="77777777" w:rsidR="00DD5232" w:rsidRPr="00A51AF5" w:rsidRDefault="00DD5232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</w:p>
    <w:p w14:paraId="58BCB0E2" w14:textId="0D0CC1B0" w:rsidR="00E9436E" w:rsidRPr="00A51AF5" w:rsidRDefault="00E9436E" w:rsidP="00655F03">
      <w:pPr>
        <w:pStyle w:val="ListParagraph"/>
        <w:numPr>
          <w:ilvl w:val="0"/>
          <w:numId w:val="2"/>
        </w:numPr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  <w:t xml:space="preserve">Constitution </w:t>
      </w:r>
    </w:p>
    <w:p w14:paraId="58F368EA" w14:textId="77777777" w:rsidR="00655F03" w:rsidRPr="00A51AF5" w:rsidRDefault="00655F03" w:rsidP="00655F03">
      <w:pPr>
        <w:pStyle w:val="ListParagraph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</w:p>
    <w:p w14:paraId="59DAA0D2" w14:textId="77777777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3.1 The constitution of the Executive Board is: </w:t>
      </w:r>
    </w:p>
    <w:p w14:paraId="55D5E7B9" w14:textId="3D3794E6" w:rsidR="0086093D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(a) The </w:t>
      </w:r>
      <w:proofErr w:type="gramStart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Principal</w:t>
      </w:r>
      <w:proofErr w:type="gramEnd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br/>
        <w:t xml:space="preserve">(b) Director of Quality </w:t>
      </w:r>
      <w:r w:rsidR="0086093D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Assurance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 </w:t>
      </w:r>
    </w:p>
    <w:p w14:paraId="33588682" w14:textId="2C190B69" w:rsidR="00E9436E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(c) Programme </w:t>
      </w:r>
      <w:r w:rsidR="0086093D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Leader</w:t>
      </w:r>
    </w:p>
    <w:p w14:paraId="601E1C6E" w14:textId="7CA71A54" w:rsidR="00446A77" w:rsidRPr="00A51AF5" w:rsidRDefault="00446A77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(d) Financial advisor</w:t>
      </w:r>
    </w:p>
    <w:p w14:paraId="57D772D1" w14:textId="77777777" w:rsidR="00655F03" w:rsidRPr="00A51AF5" w:rsidRDefault="00655F03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</w:p>
    <w:p w14:paraId="1DADF498" w14:textId="6E9F7314" w:rsidR="00655F03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3.2 Total membership </w:t>
      </w:r>
      <w:r w:rsidR="00446A77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4</w:t>
      </w:r>
    </w:p>
    <w:p w14:paraId="4EC65FF1" w14:textId="7F5C9430" w:rsidR="00655F03" w:rsidRPr="00A51AF5" w:rsidRDefault="0086093D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 </w:t>
      </w:r>
      <w:r w:rsidR="00E9436E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br/>
        <w:t>3.3 Co-option: The Executive Board may co-opt members as it sees fit.</w:t>
      </w:r>
    </w:p>
    <w:p w14:paraId="6F00252C" w14:textId="77777777" w:rsidR="00655F03" w:rsidRPr="00A51AF5" w:rsidRDefault="00E9436E" w:rsidP="00DD5232">
      <w:pPr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br/>
      </w:r>
      <w:r w:rsidRPr="00A51AF5"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  <w:t>4. Administrative Matters</w:t>
      </w:r>
    </w:p>
    <w:p w14:paraId="33143785" w14:textId="77777777" w:rsidR="00655F03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  <w:br/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4.1 There will normally be four meetings a year reflecting business needs.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br/>
        <w:t xml:space="preserve">4.2 Notes, actions and decisions of the Executive Board will be taken by Principal. </w:t>
      </w:r>
    </w:p>
    <w:p w14:paraId="61348916" w14:textId="77777777" w:rsidR="00655F03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4.3 Circulation of papers: all members of the Executive Board.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br/>
        <w:t>4.4 Notes of meetings are confidential to members of the Executive Board.</w:t>
      </w:r>
    </w:p>
    <w:p w14:paraId="28B03642" w14:textId="77777777" w:rsidR="00655F03" w:rsidRPr="00A51AF5" w:rsidRDefault="00E9436E" w:rsidP="00DD5232">
      <w:pPr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br/>
      </w:r>
      <w:r w:rsidRPr="00A51AF5"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  <w:t>5. Reporting arrangements</w:t>
      </w:r>
    </w:p>
    <w:p w14:paraId="48D736A2" w14:textId="77777777" w:rsidR="00655F03" w:rsidRPr="00A51AF5" w:rsidRDefault="00E9436E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  <w:br/>
      </w:r>
      <w:r w:rsidR="00655F03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5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.1 The Academic Standards Board reports to Executive Board.</w:t>
      </w:r>
    </w:p>
    <w:p w14:paraId="662D0A7B" w14:textId="0357C703" w:rsidR="00E9436E" w:rsidRPr="00A51AF5" w:rsidRDefault="00E9436E" w:rsidP="00DD5232">
      <w:pPr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br/>
      </w:r>
      <w:r w:rsidRPr="00A51AF5">
        <w:rPr>
          <w:rFonts w:ascii="Palatino Linotype" w:eastAsia="Times New Roman" w:hAnsi="Palatino Linotype" w:cs="Arial"/>
          <w:b/>
          <w:bCs/>
          <w:color w:val="000000" w:themeColor="text1"/>
          <w:lang w:eastAsia="en-GB"/>
        </w:rPr>
        <w:t xml:space="preserve">6. Suggested standard agenda </w:t>
      </w:r>
    </w:p>
    <w:p w14:paraId="597A6F9E" w14:textId="77777777" w:rsidR="00655F03" w:rsidRPr="00A51AF5" w:rsidRDefault="00655F03" w:rsidP="00DD5232">
      <w:pPr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</w:p>
    <w:p w14:paraId="68F8080B" w14:textId="77777777" w:rsidR="00E9436E" w:rsidRPr="00A51AF5" w:rsidRDefault="00E9436E" w:rsidP="00655F03">
      <w:pPr>
        <w:ind w:left="360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(1)  Apologies for absence </w:t>
      </w:r>
    </w:p>
    <w:p w14:paraId="0E597567" w14:textId="77777777" w:rsidR="00E9436E" w:rsidRPr="00A51AF5" w:rsidRDefault="00E9436E" w:rsidP="00655F03">
      <w:pPr>
        <w:ind w:left="360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(2)  Notes from the last meeting </w:t>
      </w:r>
    </w:p>
    <w:p w14:paraId="18F99702" w14:textId="77777777" w:rsidR="00E9436E" w:rsidRPr="00A51AF5" w:rsidRDefault="00E9436E" w:rsidP="00655F03">
      <w:pPr>
        <w:ind w:left="360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(3)  Progress on actions from the last meeting </w:t>
      </w:r>
    </w:p>
    <w:p w14:paraId="3A22F01C" w14:textId="77777777" w:rsidR="00E9436E" w:rsidRPr="00A51AF5" w:rsidRDefault="00E9436E" w:rsidP="00655F03">
      <w:pPr>
        <w:ind w:left="360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(4)  Matters of strategic importance </w:t>
      </w:r>
    </w:p>
    <w:p w14:paraId="6962277A" w14:textId="77777777" w:rsidR="00E9436E" w:rsidRPr="00A51AF5" w:rsidRDefault="00E9436E" w:rsidP="00655F03">
      <w:pPr>
        <w:ind w:left="360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(5)  Student matters </w:t>
      </w:r>
    </w:p>
    <w:p w14:paraId="75917432" w14:textId="77777777" w:rsidR="00E9436E" w:rsidRPr="00A51AF5" w:rsidRDefault="00E9436E" w:rsidP="00655F03">
      <w:pPr>
        <w:ind w:left="360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(6)  Accommodation matters </w:t>
      </w:r>
    </w:p>
    <w:p w14:paraId="4239FD2E" w14:textId="30F25E36" w:rsidR="00727241" w:rsidRPr="00A51AF5" w:rsidRDefault="00727241" w:rsidP="00655F03">
      <w:pPr>
        <w:ind w:left="360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(7)  Value for money</w:t>
      </w:r>
    </w:p>
    <w:p w14:paraId="68238C2F" w14:textId="795671E3" w:rsidR="00E9436E" w:rsidRPr="00A51AF5" w:rsidRDefault="00E9436E" w:rsidP="00655F03">
      <w:pPr>
        <w:ind w:left="360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(</w:t>
      </w:r>
      <w:r w:rsidR="00727241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8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)  External bodies (Pearson, QAA, </w:t>
      </w:r>
      <w:proofErr w:type="spellStart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OfS</w:t>
      </w:r>
      <w:proofErr w:type="spellEnd"/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/DfE etc.) </w:t>
      </w:r>
    </w:p>
    <w:p w14:paraId="36C5E82D" w14:textId="5CBC8C3E" w:rsidR="00E9436E" w:rsidRPr="00A51AF5" w:rsidRDefault="00E9436E" w:rsidP="00655F03">
      <w:pPr>
        <w:ind w:left="360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(</w:t>
      </w:r>
      <w:r w:rsidR="00727241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9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)  Reports from the Principal, Vice-Principals and Director of Quality </w:t>
      </w:r>
    </w:p>
    <w:p w14:paraId="6168DEE9" w14:textId="40BF8253" w:rsidR="00E9436E" w:rsidRPr="00A51AF5" w:rsidRDefault="00655F03" w:rsidP="00655F03">
      <w:pPr>
        <w:ind w:left="1080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Assurance</w:t>
      </w:r>
    </w:p>
    <w:p w14:paraId="0F3C8550" w14:textId="0B3FFDA5" w:rsidR="00E9436E" w:rsidRPr="00A51AF5" w:rsidRDefault="00E9436E" w:rsidP="00655F03">
      <w:pPr>
        <w:ind w:left="360"/>
        <w:rPr>
          <w:rFonts w:ascii="Palatino Linotype" w:eastAsia="Times New Roman" w:hAnsi="Palatino Linotype" w:cs="Times New Roman"/>
          <w:color w:val="000000" w:themeColor="text1"/>
          <w:lang w:eastAsia="en-GB"/>
        </w:rPr>
      </w:pP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(</w:t>
      </w:r>
      <w:r w:rsidR="00727241"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>10</w:t>
      </w:r>
      <w:r w:rsidRPr="00A51AF5">
        <w:rPr>
          <w:rFonts w:ascii="Palatino Linotype" w:eastAsia="Times New Roman" w:hAnsi="Palatino Linotype" w:cs="Times New Roman"/>
          <w:color w:val="000000" w:themeColor="text1"/>
          <w:lang w:eastAsia="en-GB"/>
        </w:rPr>
        <w:t xml:space="preserve">)  Any other business </w:t>
      </w:r>
    </w:p>
    <w:p w14:paraId="21D91BF9" w14:textId="77777777" w:rsidR="00655F03" w:rsidRPr="00A51AF5" w:rsidRDefault="00655F03" w:rsidP="00655F03">
      <w:pPr>
        <w:ind w:left="6480"/>
        <w:rPr>
          <w:rFonts w:ascii="Palatino Linotype" w:hAnsi="Palatino Linotype"/>
          <w:i/>
          <w:iCs/>
          <w:color w:val="000000" w:themeColor="text1"/>
        </w:rPr>
      </w:pPr>
      <w:r w:rsidRPr="00A51AF5">
        <w:rPr>
          <w:rFonts w:ascii="Palatino Linotype" w:hAnsi="Palatino Linotype"/>
          <w:i/>
          <w:iCs/>
          <w:color w:val="000000" w:themeColor="text1"/>
        </w:rPr>
        <w:t xml:space="preserve">     </w:t>
      </w:r>
    </w:p>
    <w:p w14:paraId="6D1E4ADE" w14:textId="77777777" w:rsidR="00655F03" w:rsidRPr="00A51AF5" w:rsidRDefault="00655F03" w:rsidP="00655F03">
      <w:pPr>
        <w:ind w:left="6480"/>
        <w:rPr>
          <w:rFonts w:ascii="Palatino Linotype" w:hAnsi="Palatino Linotype"/>
          <w:i/>
          <w:iCs/>
          <w:color w:val="000000" w:themeColor="text1"/>
        </w:rPr>
      </w:pPr>
    </w:p>
    <w:p w14:paraId="18D48711" w14:textId="77777777" w:rsidR="00655F03" w:rsidRPr="00A51AF5" w:rsidRDefault="00655F03" w:rsidP="00655F03">
      <w:pPr>
        <w:ind w:left="6480"/>
        <w:rPr>
          <w:rFonts w:ascii="Palatino Linotype" w:hAnsi="Palatino Linotype"/>
          <w:i/>
          <w:iCs/>
          <w:color w:val="000000" w:themeColor="text1"/>
        </w:rPr>
      </w:pPr>
    </w:p>
    <w:p w14:paraId="52451DD5" w14:textId="77777777" w:rsidR="00655F03" w:rsidRPr="00A51AF5" w:rsidRDefault="00655F03" w:rsidP="00655F03">
      <w:pPr>
        <w:ind w:left="6480"/>
        <w:rPr>
          <w:rFonts w:ascii="Palatino Linotype" w:hAnsi="Palatino Linotype"/>
          <w:i/>
          <w:iCs/>
          <w:color w:val="000000" w:themeColor="text1"/>
        </w:rPr>
      </w:pPr>
    </w:p>
    <w:p w14:paraId="609FB363" w14:textId="77777777" w:rsidR="00655F03" w:rsidRPr="00A51AF5" w:rsidRDefault="00655F03" w:rsidP="00655F03">
      <w:pPr>
        <w:ind w:left="6480"/>
        <w:rPr>
          <w:rFonts w:ascii="Palatino Linotype" w:hAnsi="Palatino Linotype"/>
          <w:i/>
          <w:iCs/>
          <w:color w:val="000000" w:themeColor="text1"/>
        </w:rPr>
      </w:pPr>
    </w:p>
    <w:p w14:paraId="6262A722" w14:textId="77777777" w:rsidR="00655F03" w:rsidRPr="00A51AF5" w:rsidRDefault="00655F03" w:rsidP="00655F03">
      <w:pPr>
        <w:ind w:left="6480"/>
        <w:rPr>
          <w:rFonts w:ascii="Palatino Linotype" w:hAnsi="Palatino Linotype"/>
          <w:i/>
          <w:iCs/>
          <w:color w:val="000000" w:themeColor="text1"/>
        </w:rPr>
      </w:pPr>
    </w:p>
    <w:p w14:paraId="721C39F9" w14:textId="77777777" w:rsidR="00655F03" w:rsidRPr="00A51AF5" w:rsidRDefault="00655F03" w:rsidP="00655F03">
      <w:pPr>
        <w:ind w:left="6480"/>
        <w:rPr>
          <w:rFonts w:ascii="Palatino Linotype" w:hAnsi="Palatino Linotype"/>
          <w:i/>
          <w:iCs/>
          <w:color w:val="000000" w:themeColor="text1"/>
        </w:rPr>
      </w:pPr>
    </w:p>
    <w:p w14:paraId="1EF75848" w14:textId="10C687EE" w:rsidR="00C85F5B" w:rsidRPr="00A51AF5" w:rsidRDefault="00655F03" w:rsidP="00536BBA">
      <w:pPr>
        <w:ind w:left="6480"/>
        <w:rPr>
          <w:rFonts w:ascii="Palatino Linotype" w:hAnsi="Palatino Linotype"/>
          <w:color w:val="000000" w:themeColor="text1"/>
        </w:rPr>
      </w:pPr>
      <w:r w:rsidRPr="00A51AF5">
        <w:rPr>
          <w:rFonts w:ascii="Palatino Linotype" w:hAnsi="Palatino Linotype"/>
          <w:i/>
          <w:iCs/>
          <w:color w:val="000000" w:themeColor="text1"/>
        </w:rPr>
        <w:t xml:space="preserve"> </w:t>
      </w:r>
    </w:p>
    <w:sectPr w:rsidR="00C85F5B" w:rsidRPr="00A51AF5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44A8" w14:textId="77777777" w:rsidR="004717B9" w:rsidRDefault="004717B9" w:rsidP="00655F03">
      <w:r>
        <w:separator/>
      </w:r>
    </w:p>
  </w:endnote>
  <w:endnote w:type="continuationSeparator" w:id="0">
    <w:p w14:paraId="08A28941" w14:textId="77777777" w:rsidR="004717B9" w:rsidRDefault="004717B9" w:rsidP="0065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2985272"/>
      <w:docPartObj>
        <w:docPartGallery w:val="Page Numbers (Bottom of Page)"/>
        <w:docPartUnique/>
      </w:docPartObj>
    </w:sdtPr>
    <w:sdtContent>
      <w:p w14:paraId="71469D1D" w14:textId="37B28F10" w:rsidR="00655F03" w:rsidRDefault="00655F03" w:rsidP="00B430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EAF1B0" w14:textId="77777777" w:rsidR="00655F03" w:rsidRDefault="00655F03" w:rsidP="00655F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5231944"/>
      <w:docPartObj>
        <w:docPartGallery w:val="Page Numbers (Bottom of Page)"/>
        <w:docPartUnique/>
      </w:docPartObj>
    </w:sdtPr>
    <w:sdtContent>
      <w:p w14:paraId="3CBA140B" w14:textId="1B0FBE1F" w:rsidR="00655F03" w:rsidRDefault="00655F03" w:rsidP="00B430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5CFF46" w14:textId="77777777" w:rsidR="00655F03" w:rsidRDefault="00655F03" w:rsidP="00655F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0FBB" w14:textId="77777777" w:rsidR="004717B9" w:rsidRDefault="004717B9" w:rsidP="00655F03">
      <w:r>
        <w:separator/>
      </w:r>
    </w:p>
  </w:footnote>
  <w:footnote w:type="continuationSeparator" w:id="0">
    <w:p w14:paraId="2F1C8C0E" w14:textId="77777777" w:rsidR="004717B9" w:rsidRDefault="004717B9" w:rsidP="0065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1BE1"/>
    <w:multiLevelType w:val="multilevel"/>
    <w:tmpl w:val="B9D4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1D54DB"/>
    <w:multiLevelType w:val="multilevel"/>
    <w:tmpl w:val="375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E14D8"/>
    <w:multiLevelType w:val="hybridMultilevel"/>
    <w:tmpl w:val="8A068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8587">
    <w:abstractNumId w:val="1"/>
  </w:num>
  <w:num w:numId="2" w16cid:durableId="2141217699">
    <w:abstractNumId w:val="0"/>
  </w:num>
  <w:num w:numId="3" w16cid:durableId="117915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6E"/>
    <w:rsid w:val="00075B71"/>
    <w:rsid w:val="00274DE6"/>
    <w:rsid w:val="003855CE"/>
    <w:rsid w:val="0040660B"/>
    <w:rsid w:val="00446A77"/>
    <w:rsid w:val="004717B9"/>
    <w:rsid w:val="00536BBA"/>
    <w:rsid w:val="00546764"/>
    <w:rsid w:val="005647A5"/>
    <w:rsid w:val="00655F03"/>
    <w:rsid w:val="0069527A"/>
    <w:rsid w:val="006D547D"/>
    <w:rsid w:val="006F13F7"/>
    <w:rsid w:val="00727241"/>
    <w:rsid w:val="007D04F6"/>
    <w:rsid w:val="0086093D"/>
    <w:rsid w:val="008F29CD"/>
    <w:rsid w:val="00A51AF5"/>
    <w:rsid w:val="00C85F5B"/>
    <w:rsid w:val="00DD5232"/>
    <w:rsid w:val="00E8058C"/>
    <w:rsid w:val="00E9436E"/>
    <w:rsid w:val="00F854EF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95521"/>
  <w15:chartTrackingRefBased/>
  <w15:docId w15:val="{65FF0F0A-0164-3B4A-A531-6D7EB488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3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55F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5F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F03"/>
  </w:style>
  <w:style w:type="character" w:styleId="PageNumber">
    <w:name w:val="page number"/>
    <w:basedOn w:val="DefaultParagraphFont"/>
    <w:uiPriority w:val="99"/>
    <w:semiHidden/>
    <w:unhideWhenUsed/>
    <w:rsid w:val="0065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MURUHAN ARIFOGLU</dc:creator>
  <cp:keywords/>
  <dc:description/>
  <cp:lastModifiedBy>ACMET UK</cp:lastModifiedBy>
  <cp:revision>2</cp:revision>
  <dcterms:created xsi:type="dcterms:W3CDTF">2023-12-06T12:37:00Z</dcterms:created>
  <dcterms:modified xsi:type="dcterms:W3CDTF">2023-12-06T12:37:00Z</dcterms:modified>
</cp:coreProperties>
</file>